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198D" w:rsidRDefault="008B198D">
      <w:pPr>
        <w:pStyle w:val="BodyText"/>
        <w:ind w:left="3552"/>
        <w:rPr>
          <w:sz w:val="20"/>
        </w:rPr>
      </w:pPr>
    </w:p>
    <w:p w:rsidR="008B198D" w:rsidRDefault="008B198D">
      <w:pPr>
        <w:pStyle w:val="BodyText"/>
        <w:spacing w:before="1"/>
        <w:rPr>
          <w:sz w:val="19"/>
        </w:rPr>
      </w:pPr>
    </w:p>
    <w:p w:rsidR="008B198D" w:rsidRDefault="0070278B">
      <w:pPr>
        <w:pStyle w:val="Title"/>
        <w:spacing w:line="247" w:lineRule="auto"/>
      </w:pPr>
      <w:r>
        <w:t>DISALLOWANCE OF MSME PURCHASE / EXPENSES UNDER</w:t>
      </w:r>
      <w:r>
        <w:rPr>
          <w:spacing w:val="-88"/>
        </w:rPr>
        <w:t xml:space="preserve"> </w:t>
      </w:r>
      <w:r>
        <w:t>SECTION 43B(H)</w:t>
      </w:r>
    </w:p>
    <w:p w:rsidR="00F97190" w:rsidRDefault="00F97190">
      <w:pPr>
        <w:pStyle w:val="BodyText"/>
        <w:spacing w:before="190" w:line="247" w:lineRule="auto"/>
        <w:ind w:left="160" w:right="679"/>
        <w:jc w:val="both"/>
        <w:rPr>
          <w:b/>
        </w:rPr>
      </w:pPr>
    </w:p>
    <w:p w:rsidR="008B198D" w:rsidRDefault="0070278B">
      <w:pPr>
        <w:pStyle w:val="BodyText"/>
        <w:spacing w:before="190" w:line="247" w:lineRule="auto"/>
        <w:ind w:left="160" w:right="679"/>
        <w:jc w:val="both"/>
      </w:pPr>
      <w:r>
        <w:rPr>
          <w:b/>
        </w:rPr>
        <w:t xml:space="preserve">Introduction: </w:t>
      </w:r>
      <w:r>
        <w:t>The Finance Bill 2023 has introduced a significant amendment to the Income Tax Act, 1961,</w:t>
      </w:r>
      <w:r>
        <w:rPr>
          <w:spacing w:val="1"/>
        </w:rPr>
        <w:t xml:space="preserve"> </w:t>
      </w:r>
      <w:r>
        <w:t>affecting</w:t>
      </w:r>
      <w:r>
        <w:rPr>
          <w:spacing w:val="1"/>
        </w:rPr>
        <w:t xml:space="preserve"> </w:t>
      </w:r>
      <w:r>
        <w:t>Micro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Small</w:t>
      </w:r>
      <w:r>
        <w:rPr>
          <w:spacing w:val="1"/>
        </w:rPr>
        <w:t xml:space="preserve"> </w:t>
      </w:r>
      <w:r>
        <w:t>Enterprises</w:t>
      </w:r>
      <w:r>
        <w:rPr>
          <w:spacing w:val="1"/>
        </w:rPr>
        <w:t xml:space="preserve"> </w:t>
      </w:r>
      <w:r>
        <w:t>(MSMEs).</w:t>
      </w:r>
      <w:r>
        <w:rPr>
          <w:spacing w:val="1"/>
        </w:rPr>
        <w:t xml:space="preserve"> </w:t>
      </w:r>
      <w:r>
        <w:t>Specifically,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amendment</w:t>
      </w:r>
      <w:r>
        <w:rPr>
          <w:spacing w:val="1"/>
        </w:rPr>
        <w:t xml:space="preserve"> </w:t>
      </w:r>
      <w:r>
        <w:t>introduces</w:t>
      </w:r>
      <w:r>
        <w:rPr>
          <w:spacing w:val="1"/>
        </w:rPr>
        <w:t xml:space="preserve"> </w:t>
      </w:r>
      <w:r>
        <w:t>Section</w:t>
      </w:r>
      <w:r>
        <w:rPr>
          <w:spacing w:val="1"/>
        </w:rPr>
        <w:t xml:space="preserve"> </w:t>
      </w:r>
      <w:r>
        <w:t>43B(h),</w:t>
      </w:r>
      <w:r>
        <w:rPr>
          <w:spacing w:val="-57"/>
        </w:rPr>
        <w:t xml:space="preserve"> </w:t>
      </w:r>
      <w:r>
        <w:t>impacting the deduction of overdue payments to MS</w:t>
      </w:r>
      <w:r>
        <w:t>MEs. This article delves into the provisions, implications,</w:t>
      </w:r>
      <w:r>
        <w:rPr>
          <w:spacing w:val="1"/>
        </w:rPr>
        <w:t xml:space="preserve"> </w:t>
      </w:r>
      <w:r>
        <w:t>and steps for compliance with the new regulation.</w:t>
      </w:r>
    </w:p>
    <w:p w:rsidR="008B198D" w:rsidRDefault="008B198D">
      <w:pPr>
        <w:pStyle w:val="BodyText"/>
        <w:spacing w:before="2"/>
        <w:rPr>
          <w:sz w:val="21"/>
        </w:rPr>
      </w:pPr>
    </w:p>
    <w:p w:rsidR="008B198D" w:rsidRDefault="0070278B">
      <w:pPr>
        <w:pStyle w:val="Heading1"/>
        <w:numPr>
          <w:ilvl w:val="0"/>
          <w:numId w:val="1"/>
        </w:numPr>
        <w:tabs>
          <w:tab w:val="left" w:pos="454"/>
        </w:tabs>
      </w:pPr>
      <w:r>
        <w:t>INCOME TAX ACT PROVISIONS:</w:t>
      </w:r>
    </w:p>
    <w:p w:rsidR="008B198D" w:rsidRDefault="008B198D">
      <w:pPr>
        <w:pStyle w:val="BodyText"/>
        <w:spacing w:before="8"/>
        <w:rPr>
          <w:b/>
          <w:sz w:val="21"/>
        </w:rPr>
      </w:pPr>
    </w:p>
    <w:p w:rsidR="008B198D" w:rsidRDefault="0070278B">
      <w:pPr>
        <w:ind w:left="160"/>
        <w:jc w:val="both"/>
        <w:rPr>
          <w:b/>
          <w:sz w:val="24"/>
        </w:rPr>
      </w:pPr>
      <w:r>
        <w:rPr>
          <w:b/>
          <w:sz w:val="24"/>
        </w:rPr>
        <w:t>DELAYED PAYMENT OF PRINCIPAL</w:t>
      </w:r>
    </w:p>
    <w:p w:rsidR="008B198D" w:rsidRDefault="008B198D">
      <w:pPr>
        <w:pStyle w:val="BodyText"/>
        <w:spacing w:before="7"/>
        <w:rPr>
          <w:b/>
          <w:sz w:val="21"/>
        </w:rPr>
      </w:pPr>
    </w:p>
    <w:p w:rsidR="008B198D" w:rsidRDefault="0070278B">
      <w:pPr>
        <w:pStyle w:val="BodyText"/>
        <w:spacing w:before="1" w:line="247" w:lineRule="auto"/>
        <w:ind w:left="160" w:right="678"/>
        <w:jc w:val="both"/>
      </w:pPr>
      <w:r>
        <w:t xml:space="preserve">In order to promote timely payments to MSMEs, The </w:t>
      </w:r>
      <w:hyperlink r:id="rId5">
        <w:r>
          <w:rPr>
            <w:b/>
            <w:color w:val="0000CC"/>
            <w:u w:val="single" w:color="0000CC"/>
          </w:rPr>
          <w:t>Finance Bill 202</w:t>
        </w:r>
      </w:hyperlink>
      <w:r>
        <w:rPr>
          <w:b/>
          <w:color w:val="0000CC"/>
          <w:u w:val="single" w:color="0000CC"/>
        </w:rPr>
        <w:t xml:space="preserve">3 </w:t>
      </w:r>
      <w:r>
        <w:t>has introduced one more measure by</w:t>
      </w:r>
      <w:r>
        <w:rPr>
          <w:spacing w:val="1"/>
        </w:rPr>
        <w:t xml:space="preserve"> </w:t>
      </w:r>
      <w:r>
        <w:t>amending</w:t>
      </w:r>
      <w:r>
        <w:rPr>
          <w:spacing w:val="13"/>
        </w:rPr>
        <w:t xml:space="preserve"> </w:t>
      </w:r>
      <w:r>
        <w:t>section</w:t>
      </w:r>
      <w:r>
        <w:rPr>
          <w:spacing w:val="13"/>
        </w:rPr>
        <w:t xml:space="preserve"> </w:t>
      </w:r>
      <w:r>
        <w:t>43B</w:t>
      </w:r>
      <w:r>
        <w:rPr>
          <w:spacing w:val="13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Income</w:t>
      </w:r>
      <w:r>
        <w:rPr>
          <w:spacing w:val="13"/>
        </w:rPr>
        <w:t xml:space="preserve"> </w:t>
      </w:r>
      <w:r>
        <w:t>tax</w:t>
      </w:r>
      <w:r>
        <w:rPr>
          <w:spacing w:val="13"/>
        </w:rPr>
        <w:t xml:space="preserve"> </w:t>
      </w:r>
      <w:r>
        <w:t>act,</w:t>
      </w:r>
      <w:r>
        <w:rPr>
          <w:spacing w:val="13"/>
        </w:rPr>
        <w:t xml:space="preserve"> </w:t>
      </w:r>
      <w:r>
        <w:t>1961</w:t>
      </w:r>
      <w:r>
        <w:rPr>
          <w:spacing w:val="14"/>
        </w:rPr>
        <w:t xml:space="preserve"> </w:t>
      </w:r>
      <w:r>
        <w:t>to</w:t>
      </w:r>
      <w:r>
        <w:rPr>
          <w:spacing w:val="13"/>
        </w:rPr>
        <w:t xml:space="preserve"> </w:t>
      </w:r>
      <w:r>
        <w:t>disallow</w:t>
      </w:r>
      <w:r>
        <w:rPr>
          <w:spacing w:val="13"/>
        </w:rPr>
        <w:t xml:space="preserve"> </w:t>
      </w:r>
      <w:r>
        <w:t>amount</w:t>
      </w:r>
      <w:r>
        <w:rPr>
          <w:spacing w:val="13"/>
        </w:rPr>
        <w:t xml:space="preserve"> </w:t>
      </w:r>
      <w:r>
        <w:t>of</w:t>
      </w:r>
      <w:r>
        <w:rPr>
          <w:spacing w:val="14"/>
        </w:rPr>
        <w:t xml:space="preserve"> </w:t>
      </w:r>
      <w:r>
        <w:t>overdue</w:t>
      </w:r>
      <w:r>
        <w:rPr>
          <w:spacing w:val="13"/>
        </w:rPr>
        <w:t xml:space="preserve"> </w:t>
      </w:r>
      <w:r>
        <w:t>creditors</w:t>
      </w:r>
      <w:r>
        <w:rPr>
          <w:spacing w:val="13"/>
        </w:rPr>
        <w:t xml:space="preserve"> </w:t>
      </w:r>
      <w:r>
        <w:t>registered</w:t>
      </w:r>
      <w:r>
        <w:rPr>
          <w:spacing w:val="13"/>
        </w:rPr>
        <w:t xml:space="preserve"> </w:t>
      </w:r>
      <w:r>
        <w:t>as</w:t>
      </w:r>
      <w:r>
        <w:rPr>
          <w:spacing w:val="14"/>
        </w:rPr>
        <w:t xml:space="preserve"> </w:t>
      </w:r>
      <w:r>
        <w:t>Micro</w:t>
      </w:r>
      <w:r>
        <w:rPr>
          <w:spacing w:val="-58"/>
        </w:rPr>
        <w:t xml:space="preserve"> </w:t>
      </w:r>
      <w:r>
        <w:t>or Small Enterprises under MSME Development Act (MSMED) 2006. The new Clause (h) to Section 43B has</w:t>
      </w:r>
      <w:r>
        <w:rPr>
          <w:spacing w:val="1"/>
        </w:rPr>
        <w:t xml:space="preserve"> </w:t>
      </w:r>
      <w:r>
        <w:t>been inserted which is applicable from assessment year 2024-25 and onwards is as under.</w:t>
      </w:r>
    </w:p>
    <w:p w:rsidR="008B198D" w:rsidRDefault="008B198D">
      <w:pPr>
        <w:pStyle w:val="BodyText"/>
        <w:spacing w:before="1"/>
        <w:rPr>
          <w:sz w:val="21"/>
        </w:rPr>
      </w:pPr>
    </w:p>
    <w:p w:rsidR="008B198D" w:rsidRDefault="0070278B">
      <w:pPr>
        <w:spacing w:before="1" w:line="247" w:lineRule="auto"/>
        <w:ind w:left="760"/>
        <w:rPr>
          <w:b/>
          <w:i/>
          <w:sz w:val="24"/>
        </w:rPr>
      </w:pPr>
      <w:r>
        <w:rPr>
          <w:b/>
          <w:i/>
          <w:sz w:val="24"/>
        </w:rPr>
        <w:t>43B(h</w:t>
      </w:r>
      <w:proofErr w:type="gramStart"/>
      <w:r>
        <w:rPr>
          <w:b/>
          <w:i/>
          <w:sz w:val="24"/>
        </w:rPr>
        <w:t>):-</w:t>
      </w:r>
      <w:proofErr w:type="gramEnd"/>
      <w:r>
        <w:rPr>
          <w:b/>
          <w:i/>
          <w:spacing w:val="54"/>
          <w:sz w:val="24"/>
        </w:rPr>
        <w:t xml:space="preserve"> </w:t>
      </w:r>
      <w:r>
        <w:rPr>
          <w:b/>
          <w:i/>
          <w:sz w:val="24"/>
        </w:rPr>
        <w:t>Any</w:t>
      </w:r>
      <w:r>
        <w:rPr>
          <w:b/>
          <w:i/>
          <w:spacing w:val="54"/>
          <w:sz w:val="24"/>
        </w:rPr>
        <w:t xml:space="preserve"> </w:t>
      </w:r>
      <w:r>
        <w:rPr>
          <w:b/>
          <w:i/>
          <w:sz w:val="24"/>
        </w:rPr>
        <w:t>sum</w:t>
      </w:r>
      <w:r>
        <w:rPr>
          <w:b/>
          <w:i/>
          <w:spacing w:val="54"/>
          <w:sz w:val="24"/>
        </w:rPr>
        <w:t xml:space="preserve"> </w:t>
      </w:r>
      <w:r>
        <w:rPr>
          <w:b/>
          <w:i/>
          <w:sz w:val="24"/>
        </w:rPr>
        <w:t>payable</w:t>
      </w:r>
      <w:r>
        <w:rPr>
          <w:b/>
          <w:i/>
          <w:spacing w:val="55"/>
          <w:sz w:val="24"/>
        </w:rPr>
        <w:t xml:space="preserve"> </w:t>
      </w:r>
      <w:r>
        <w:rPr>
          <w:b/>
          <w:i/>
          <w:sz w:val="24"/>
        </w:rPr>
        <w:t>by</w:t>
      </w:r>
      <w:r>
        <w:rPr>
          <w:b/>
          <w:i/>
          <w:spacing w:val="54"/>
          <w:sz w:val="24"/>
        </w:rPr>
        <w:t xml:space="preserve"> </w:t>
      </w:r>
      <w:r>
        <w:rPr>
          <w:b/>
          <w:i/>
          <w:sz w:val="24"/>
        </w:rPr>
        <w:t>the</w:t>
      </w:r>
      <w:r>
        <w:rPr>
          <w:b/>
          <w:i/>
          <w:spacing w:val="54"/>
          <w:sz w:val="24"/>
        </w:rPr>
        <w:t xml:space="preserve"> </w:t>
      </w:r>
      <w:proofErr w:type="spellStart"/>
      <w:r>
        <w:rPr>
          <w:b/>
          <w:i/>
          <w:sz w:val="24"/>
        </w:rPr>
        <w:t>assessee</w:t>
      </w:r>
      <w:proofErr w:type="spellEnd"/>
      <w:r>
        <w:rPr>
          <w:b/>
          <w:i/>
          <w:spacing w:val="55"/>
          <w:sz w:val="24"/>
        </w:rPr>
        <w:t xml:space="preserve"> </w:t>
      </w:r>
      <w:r>
        <w:rPr>
          <w:b/>
          <w:i/>
          <w:sz w:val="24"/>
        </w:rPr>
        <w:t>to</w:t>
      </w:r>
      <w:r>
        <w:rPr>
          <w:b/>
          <w:i/>
          <w:spacing w:val="54"/>
          <w:sz w:val="24"/>
        </w:rPr>
        <w:t xml:space="preserve"> </w:t>
      </w:r>
      <w:r>
        <w:rPr>
          <w:b/>
          <w:i/>
          <w:sz w:val="24"/>
        </w:rPr>
        <w:t>a</w:t>
      </w:r>
      <w:r>
        <w:rPr>
          <w:b/>
          <w:i/>
          <w:spacing w:val="54"/>
          <w:sz w:val="24"/>
        </w:rPr>
        <w:t xml:space="preserve"> </w:t>
      </w:r>
      <w:r>
        <w:rPr>
          <w:b/>
          <w:i/>
          <w:sz w:val="24"/>
        </w:rPr>
        <w:t>micro</w:t>
      </w:r>
      <w:r>
        <w:rPr>
          <w:b/>
          <w:i/>
          <w:spacing w:val="55"/>
          <w:sz w:val="24"/>
        </w:rPr>
        <w:t xml:space="preserve"> </w:t>
      </w:r>
      <w:r>
        <w:rPr>
          <w:b/>
          <w:i/>
          <w:sz w:val="24"/>
        </w:rPr>
        <w:t>or</w:t>
      </w:r>
      <w:r>
        <w:rPr>
          <w:b/>
          <w:i/>
          <w:spacing w:val="54"/>
          <w:sz w:val="24"/>
        </w:rPr>
        <w:t xml:space="preserve"> </w:t>
      </w:r>
      <w:r>
        <w:rPr>
          <w:b/>
          <w:i/>
          <w:sz w:val="24"/>
        </w:rPr>
        <w:t>small</w:t>
      </w:r>
      <w:r>
        <w:rPr>
          <w:b/>
          <w:i/>
          <w:spacing w:val="54"/>
          <w:sz w:val="24"/>
        </w:rPr>
        <w:t xml:space="preserve"> </w:t>
      </w:r>
      <w:r>
        <w:rPr>
          <w:b/>
          <w:i/>
          <w:sz w:val="24"/>
        </w:rPr>
        <w:t>enterp</w:t>
      </w:r>
      <w:r>
        <w:rPr>
          <w:b/>
          <w:i/>
          <w:sz w:val="24"/>
        </w:rPr>
        <w:t>rises,</w:t>
      </w:r>
      <w:r>
        <w:rPr>
          <w:b/>
          <w:i/>
          <w:spacing w:val="55"/>
          <w:sz w:val="24"/>
        </w:rPr>
        <w:t xml:space="preserve"> </w:t>
      </w:r>
      <w:r>
        <w:rPr>
          <w:b/>
          <w:i/>
          <w:sz w:val="24"/>
        </w:rPr>
        <w:t>beyond</w:t>
      </w:r>
      <w:r>
        <w:rPr>
          <w:b/>
          <w:i/>
          <w:spacing w:val="54"/>
          <w:sz w:val="24"/>
        </w:rPr>
        <w:t xml:space="preserve"> </w:t>
      </w:r>
      <w:r>
        <w:rPr>
          <w:b/>
          <w:i/>
          <w:sz w:val="24"/>
        </w:rPr>
        <w:t>the</w:t>
      </w:r>
      <w:r>
        <w:rPr>
          <w:b/>
          <w:i/>
          <w:spacing w:val="54"/>
          <w:sz w:val="24"/>
        </w:rPr>
        <w:t xml:space="preserve"> </w:t>
      </w:r>
      <w:r>
        <w:rPr>
          <w:b/>
          <w:i/>
          <w:sz w:val="24"/>
        </w:rPr>
        <w:t>time</w:t>
      </w:r>
      <w:r>
        <w:rPr>
          <w:b/>
          <w:i/>
          <w:spacing w:val="55"/>
          <w:sz w:val="24"/>
        </w:rPr>
        <w:t xml:space="preserve"> </w:t>
      </w:r>
      <w:r>
        <w:rPr>
          <w:b/>
          <w:i/>
          <w:sz w:val="24"/>
        </w:rPr>
        <w:t>limit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specified in section 15 of the Micro, small and Medium Enterprises Development Act 2006.</w:t>
      </w:r>
    </w:p>
    <w:p w:rsidR="008B198D" w:rsidRDefault="008B198D">
      <w:pPr>
        <w:pStyle w:val="BodyText"/>
        <w:rPr>
          <w:b/>
          <w:i/>
          <w:sz w:val="21"/>
        </w:rPr>
      </w:pPr>
    </w:p>
    <w:p w:rsidR="008B198D" w:rsidRDefault="0070278B">
      <w:pPr>
        <w:ind w:left="760"/>
        <w:rPr>
          <w:sz w:val="24"/>
        </w:rPr>
      </w:pPr>
      <w:r>
        <w:rPr>
          <w:b/>
          <w:i/>
          <w:sz w:val="24"/>
        </w:rPr>
        <w:t>shall be allowed as deduction only on actual payment</w:t>
      </w:r>
      <w:r>
        <w:rPr>
          <w:sz w:val="24"/>
        </w:rPr>
        <w:t>.</w:t>
      </w:r>
    </w:p>
    <w:p w:rsidR="008B198D" w:rsidRDefault="008B198D">
      <w:pPr>
        <w:pStyle w:val="BodyText"/>
        <w:spacing w:before="7"/>
        <w:rPr>
          <w:sz w:val="21"/>
        </w:rPr>
      </w:pPr>
    </w:p>
    <w:p w:rsidR="008B198D" w:rsidRDefault="0070278B">
      <w:pPr>
        <w:pStyle w:val="BodyText"/>
        <w:spacing w:line="247" w:lineRule="auto"/>
        <w:ind w:left="160" w:right="679"/>
        <w:jc w:val="both"/>
      </w:pPr>
      <w:r>
        <w:t>Provided that nothing contained in this section [</w:t>
      </w:r>
      <w:r>
        <w:rPr>
          <w:b/>
        </w:rPr>
        <w:t>except the provisions of clause(h)</w:t>
      </w:r>
      <w:r>
        <w:t>] shall apply in relation to any</w:t>
      </w:r>
      <w:r>
        <w:rPr>
          <w:spacing w:val="-57"/>
        </w:rPr>
        <w:t xml:space="preserve"> </w:t>
      </w:r>
      <w:r>
        <w:t xml:space="preserve">sum which is actually paid by the </w:t>
      </w:r>
      <w:proofErr w:type="spellStart"/>
      <w:r>
        <w:t>assessee</w:t>
      </w:r>
      <w:proofErr w:type="spellEnd"/>
      <w:r>
        <w:t xml:space="preserve"> on or before the due date applicable in his case for furnishing the</w:t>
      </w:r>
      <w:r>
        <w:rPr>
          <w:spacing w:val="1"/>
        </w:rPr>
        <w:t xml:space="preserve"> </w:t>
      </w:r>
      <w:r>
        <w:t>return of income under sub-section (1) of section 139 in respect of the previo</w:t>
      </w:r>
      <w:r>
        <w:t>us year in which the liability to pay</w:t>
      </w:r>
      <w:r>
        <w:rPr>
          <w:spacing w:val="1"/>
        </w:rPr>
        <w:t xml:space="preserve"> </w:t>
      </w:r>
      <w:r>
        <w:t xml:space="preserve">such sum was incurred as aforesaid and the evidence of such payment is furnished by the </w:t>
      </w:r>
      <w:proofErr w:type="spellStart"/>
      <w:r>
        <w:t>assessee</w:t>
      </w:r>
      <w:proofErr w:type="spellEnd"/>
      <w:r>
        <w:t xml:space="preserve"> along with</w:t>
      </w:r>
      <w:r>
        <w:rPr>
          <w:spacing w:val="1"/>
        </w:rPr>
        <w:t xml:space="preserve"> </w:t>
      </w:r>
      <w:r>
        <w:t>such return.”</w:t>
      </w:r>
    </w:p>
    <w:p w:rsidR="008B198D" w:rsidRDefault="008B198D">
      <w:pPr>
        <w:pStyle w:val="BodyText"/>
        <w:spacing w:before="3"/>
        <w:rPr>
          <w:sz w:val="21"/>
        </w:rPr>
      </w:pPr>
    </w:p>
    <w:p w:rsidR="008B198D" w:rsidRDefault="0070278B">
      <w:pPr>
        <w:spacing w:line="247" w:lineRule="auto"/>
        <w:ind w:left="160" w:right="679"/>
        <w:jc w:val="both"/>
        <w:rPr>
          <w:b/>
          <w:i/>
          <w:sz w:val="24"/>
        </w:rPr>
      </w:pPr>
      <w:r>
        <w:rPr>
          <w:sz w:val="24"/>
        </w:rPr>
        <w:t xml:space="preserve">Thus, the amendment to section 43B of the Act will </w:t>
      </w:r>
      <w:r>
        <w:rPr>
          <w:b/>
          <w:i/>
          <w:sz w:val="24"/>
        </w:rPr>
        <w:t>allow the payment as deduction only on payme</w:t>
      </w:r>
      <w:r>
        <w:rPr>
          <w:b/>
          <w:i/>
          <w:sz w:val="24"/>
        </w:rPr>
        <w:t>nt basis</w:t>
      </w:r>
      <w:r>
        <w:rPr>
          <w:i/>
          <w:sz w:val="24"/>
        </w:rPr>
        <w:t xml:space="preserve">. </w:t>
      </w:r>
      <w:r>
        <w:rPr>
          <w:b/>
          <w:i/>
          <w:sz w:val="24"/>
        </w:rPr>
        <w:t>It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can be allowed on accrual basis only if the payment is within the time mandated under section 15 of the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MSMED Act.</w:t>
      </w:r>
    </w:p>
    <w:p w:rsidR="008B198D" w:rsidRDefault="008B198D">
      <w:pPr>
        <w:pStyle w:val="BodyText"/>
        <w:spacing w:before="1"/>
        <w:rPr>
          <w:b/>
          <w:i/>
          <w:sz w:val="21"/>
        </w:rPr>
      </w:pPr>
    </w:p>
    <w:p w:rsidR="008B198D" w:rsidRDefault="0070278B">
      <w:pPr>
        <w:pStyle w:val="Heading1"/>
        <w:jc w:val="both"/>
      </w:pPr>
      <w:r>
        <w:t>INTEREST ON DELAYED PAYMENT</w:t>
      </w:r>
    </w:p>
    <w:p w:rsidR="008B198D" w:rsidRDefault="008B198D">
      <w:pPr>
        <w:pStyle w:val="BodyText"/>
        <w:spacing w:before="8"/>
        <w:rPr>
          <w:b/>
          <w:sz w:val="21"/>
        </w:rPr>
      </w:pPr>
    </w:p>
    <w:p w:rsidR="008B198D" w:rsidRDefault="0070278B">
      <w:pPr>
        <w:spacing w:line="247" w:lineRule="auto"/>
        <w:ind w:left="160" w:right="678"/>
        <w:jc w:val="both"/>
        <w:rPr>
          <w:b/>
          <w:sz w:val="24"/>
        </w:rPr>
      </w:pPr>
      <w:r>
        <w:rPr>
          <w:sz w:val="24"/>
        </w:rPr>
        <w:t>As</w:t>
      </w:r>
      <w:r>
        <w:rPr>
          <w:spacing w:val="7"/>
          <w:sz w:val="24"/>
        </w:rPr>
        <w:t xml:space="preserve"> </w:t>
      </w:r>
      <w:r>
        <w:rPr>
          <w:sz w:val="24"/>
        </w:rPr>
        <w:t>per</w:t>
      </w:r>
      <w:r>
        <w:rPr>
          <w:spacing w:val="7"/>
          <w:sz w:val="24"/>
        </w:rPr>
        <w:t xml:space="preserve"> </w:t>
      </w:r>
      <w:r>
        <w:rPr>
          <w:sz w:val="24"/>
        </w:rPr>
        <w:t>section</w:t>
      </w:r>
      <w:r>
        <w:rPr>
          <w:spacing w:val="7"/>
          <w:sz w:val="24"/>
        </w:rPr>
        <w:t xml:space="preserve"> </w:t>
      </w:r>
      <w:r>
        <w:rPr>
          <w:sz w:val="24"/>
        </w:rPr>
        <w:t>16</w:t>
      </w:r>
      <w:r>
        <w:rPr>
          <w:spacing w:val="7"/>
          <w:sz w:val="24"/>
        </w:rPr>
        <w:t xml:space="preserve"> </w:t>
      </w:r>
      <w:r>
        <w:rPr>
          <w:sz w:val="24"/>
        </w:rPr>
        <w:t>of</w:t>
      </w:r>
      <w:r>
        <w:rPr>
          <w:spacing w:val="7"/>
          <w:sz w:val="24"/>
        </w:rPr>
        <w:t xml:space="preserve"> </w:t>
      </w:r>
      <w:r>
        <w:rPr>
          <w:sz w:val="24"/>
        </w:rPr>
        <w:t>the</w:t>
      </w:r>
      <w:r>
        <w:rPr>
          <w:spacing w:val="7"/>
          <w:sz w:val="24"/>
        </w:rPr>
        <w:t xml:space="preserve"> </w:t>
      </w:r>
      <w:r>
        <w:rPr>
          <w:sz w:val="24"/>
        </w:rPr>
        <w:t>MSMED</w:t>
      </w:r>
      <w:r>
        <w:rPr>
          <w:spacing w:val="7"/>
          <w:sz w:val="24"/>
        </w:rPr>
        <w:t xml:space="preserve"> </w:t>
      </w:r>
      <w:r>
        <w:rPr>
          <w:sz w:val="24"/>
        </w:rPr>
        <w:t>Act,</w:t>
      </w:r>
      <w:r>
        <w:rPr>
          <w:spacing w:val="7"/>
          <w:sz w:val="24"/>
        </w:rPr>
        <w:t xml:space="preserve"> </w:t>
      </w:r>
      <w:r>
        <w:rPr>
          <w:sz w:val="24"/>
        </w:rPr>
        <w:t>the</w:t>
      </w:r>
      <w:r>
        <w:rPr>
          <w:spacing w:val="7"/>
          <w:sz w:val="24"/>
        </w:rPr>
        <w:t xml:space="preserve"> </w:t>
      </w:r>
      <w:r>
        <w:rPr>
          <w:i/>
          <w:sz w:val="24"/>
        </w:rPr>
        <w:t>payment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interest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on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delayed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payment</w:t>
      </w:r>
      <w:r>
        <w:rPr>
          <w:i/>
          <w:spacing w:val="8"/>
          <w:sz w:val="24"/>
        </w:rPr>
        <w:t xml:space="preserve"> </w:t>
      </w:r>
      <w:r>
        <w:rPr>
          <w:sz w:val="24"/>
        </w:rPr>
        <w:t>is</w:t>
      </w:r>
      <w:r>
        <w:rPr>
          <w:spacing w:val="7"/>
          <w:sz w:val="24"/>
        </w:rPr>
        <w:t xml:space="preserve"> </w:t>
      </w:r>
      <w:r>
        <w:rPr>
          <w:sz w:val="24"/>
        </w:rPr>
        <w:t>in</w:t>
      </w:r>
      <w:r>
        <w:rPr>
          <w:spacing w:val="7"/>
          <w:sz w:val="24"/>
        </w:rPr>
        <w:t xml:space="preserve"> </w:t>
      </w:r>
      <w:r>
        <w:rPr>
          <w:sz w:val="24"/>
        </w:rPr>
        <w:t>the</w:t>
      </w:r>
      <w:r>
        <w:rPr>
          <w:spacing w:val="7"/>
          <w:sz w:val="24"/>
        </w:rPr>
        <w:t xml:space="preserve"> </w:t>
      </w:r>
      <w:r>
        <w:rPr>
          <w:i/>
          <w:sz w:val="24"/>
        </w:rPr>
        <w:t>nature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penalty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or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it is penal interest</w:t>
      </w:r>
      <w:r>
        <w:rPr>
          <w:sz w:val="24"/>
        </w:rPr>
        <w:t>. Therefore, once the payment of interest on delayed payment to MSME is regarded as a penal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in nature and </w:t>
      </w:r>
      <w:r>
        <w:rPr>
          <w:b/>
          <w:sz w:val="24"/>
        </w:rPr>
        <w:t>it is not allowed as an expenditure under Income Tax Act 1961due to the overriding effect of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section 23 of MSMED Act 2</w:t>
      </w:r>
      <w:r>
        <w:rPr>
          <w:b/>
          <w:sz w:val="24"/>
        </w:rPr>
        <w:t>006.</w:t>
      </w:r>
    </w:p>
    <w:p w:rsidR="008B198D" w:rsidRDefault="008B198D">
      <w:pPr>
        <w:pStyle w:val="BodyText"/>
        <w:spacing w:before="2"/>
        <w:rPr>
          <w:b/>
          <w:sz w:val="21"/>
        </w:rPr>
      </w:pPr>
    </w:p>
    <w:p w:rsidR="008B198D" w:rsidRDefault="0070278B">
      <w:pPr>
        <w:pStyle w:val="BodyText"/>
        <w:spacing w:line="247" w:lineRule="auto"/>
        <w:ind w:left="160" w:right="679"/>
        <w:jc w:val="both"/>
      </w:pPr>
      <w:r>
        <w:t>As</w:t>
      </w:r>
      <w:r>
        <w:rPr>
          <w:spacing w:val="17"/>
        </w:rPr>
        <w:t xml:space="preserve"> </w:t>
      </w:r>
      <w:r>
        <w:t>per</w:t>
      </w:r>
      <w:r>
        <w:rPr>
          <w:spacing w:val="17"/>
        </w:rPr>
        <w:t xml:space="preserve"> </w:t>
      </w:r>
      <w:r>
        <w:t>clause</w:t>
      </w:r>
      <w:r>
        <w:rPr>
          <w:spacing w:val="17"/>
        </w:rPr>
        <w:t xml:space="preserve"> </w:t>
      </w:r>
      <w:r>
        <w:t>22</w:t>
      </w:r>
      <w:r>
        <w:rPr>
          <w:spacing w:val="17"/>
        </w:rPr>
        <w:t xml:space="preserve"> </w:t>
      </w:r>
      <w:r>
        <w:t>of</w:t>
      </w:r>
      <w:r>
        <w:rPr>
          <w:spacing w:val="17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Tax</w:t>
      </w:r>
      <w:r>
        <w:rPr>
          <w:spacing w:val="17"/>
        </w:rPr>
        <w:t xml:space="preserve"> </w:t>
      </w:r>
      <w:r>
        <w:t>Audit</w:t>
      </w:r>
      <w:r>
        <w:rPr>
          <w:spacing w:val="17"/>
        </w:rPr>
        <w:t xml:space="preserve"> </w:t>
      </w:r>
      <w:r>
        <w:t>requires</w:t>
      </w:r>
      <w:r>
        <w:rPr>
          <w:spacing w:val="17"/>
        </w:rPr>
        <w:t xml:space="preserve"> </w:t>
      </w:r>
      <w:r>
        <w:t>Tax</w:t>
      </w:r>
      <w:r>
        <w:rPr>
          <w:spacing w:val="17"/>
        </w:rPr>
        <w:t xml:space="preserve"> </w:t>
      </w:r>
      <w:r>
        <w:t>Auditor</w:t>
      </w:r>
      <w:r>
        <w:rPr>
          <w:spacing w:val="17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t>report</w:t>
      </w:r>
      <w:r>
        <w:rPr>
          <w:spacing w:val="17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amount</w:t>
      </w:r>
      <w:r>
        <w:rPr>
          <w:spacing w:val="17"/>
        </w:rPr>
        <w:t xml:space="preserve"> </w:t>
      </w:r>
      <w:r>
        <w:t>of</w:t>
      </w:r>
      <w:r>
        <w:rPr>
          <w:spacing w:val="17"/>
        </w:rPr>
        <w:t xml:space="preserve"> </w:t>
      </w:r>
      <w:r>
        <w:t>interest</w:t>
      </w:r>
      <w:r>
        <w:rPr>
          <w:spacing w:val="17"/>
        </w:rPr>
        <w:t xml:space="preserve"> </w:t>
      </w:r>
      <w:r>
        <w:t>inadmissible</w:t>
      </w:r>
      <w:r>
        <w:rPr>
          <w:spacing w:val="17"/>
        </w:rPr>
        <w:t xml:space="preserve"> </w:t>
      </w:r>
      <w:r>
        <w:t>u/s</w:t>
      </w:r>
      <w:r>
        <w:rPr>
          <w:spacing w:val="17"/>
        </w:rPr>
        <w:t xml:space="preserve"> </w:t>
      </w:r>
      <w:r>
        <w:t>23</w:t>
      </w:r>
      <w:r>
        <w:rPr>
          <w:spacing w:val="17"/>
        </w:rPr>
        <w:t xml:space="preserve"> </w:t>
      </w:r>
      <w:r>
        <w:t>of</w:t>
      </w:r>
      <w:r>
        <w:rPr>
          <w:spacing w:val="-58"/>
        </w:rPr>
        <w:t xml:space="preserve"> </w:t>
      </w:r>
      <w:r>
        <w:t>the Micro, Small and Medium Enterprises Development Act, 2006 (MSMED, Act 2006).</w:t>
      </w:r>
    </w:p>
    <w:p w:rsidR="008B198D" w:rsidRDefault="008B198D">
      <w:pPr>
        <w:spacing w:line="247" w:lineRule="auto"/>
        <w:jc w:val="both"/>
        <w:sectPr w:rsidR="008B198D">
          <w:type w:val="continuous"/>
          <w:pgSz w:w="12240" w:h="15840"/>
          <w:pgMar w:top="680" w:right="0" w:bottom="280" w:left="520" w:header="720" w:footer="720" w:gutter="0"/>
          <w:cols w:space="720"/>
        </w:sectPr>
      </w:pPr>
    </w:p>
    <w:p w:rsidR="008B198D" w:rsidRDefault="0070278B">
      <w:pPr>
        <w:pStyle w:val="Heading1"/>
        <w:numPr>
          <w:ilvl w:val="0"/>
          <w:numId w:val="1"/>
        </w:numPr>
        <w:tabs>
          <w:tab w:val="left" w:pos="441"/>
        </w:tabs>
        <w:spacing w:before="64"/>
        <w:ind w:left="440" w:hanging="281"/>
      </w:pPr>
      <w:r>
        <w:lastRenderedPageBreak/>
        <w:t>MSMED ACT PROVISIONS: –</w:t>
      </w:r>
    </w:p>
    <w:p w:rsidR="008B198D" w:rsidRDefault="008B198D">
      <w:pPr>
        <w:pStyle w:val="BodyText"/>
        <w:spacing w:before="8"/>
        <w:rPr>
          <w:b/>
          <w:sz w:val="21"/>
        </w:rPr>
      </w:pPr>
    </w:p>
    <w:p w:rsidR="008B198D" w:rsidRDefault="0070278B">
      <w:pPr>
        <w:pStyle w:val="BodyText"/>
        <w:spacing w:line="247" w:lineRule="auto"/>
        <w:ind w:left="760" w:right="679"/>
        <w:jc w:val="both"/>
      </w:pPr>
      <w:r>
        <w:rPr>
          <w:b/>
        </w:rPr>
        <w:t>Section</w:t>
      </w:r>
      <w:r>
        <w:rPr>
          <w:b/>
          <w:spacing w:val="1"/>
        </w:rPr>
        <w:t xml:space="preserve"> </w:t>
      </w:r>
      <w:r>
        <w:rPr>
          <w:b/>
        </w:rPr>
        <w:t>2(e)</w:t>
      </w:r>
      <w:r>
        <w:rPr>
          <w:b/>
          <w:spacing w:val="1"/>
        </w:rPr>
        <w:t xml:space="preserve"> </w:t>
      </w:r>
      <w:r>
        <w:t>“enterprise”</w:t>
      </w:r>
      <w:r>
        <w:rPr>
          <w:spacing w:val="1"/>
        </w:rPr>
        <w:t xml:space="preserve"> </w:t>
      </w:r>
      <w:r>
        <w:t>means</w:t>
      </w:r>
      <w:r>
        <w:rPr>
          <w:spacing w:val="1"/>
        </w:rPr>
        <w:t xml:space="preserve"> </w:t>
      </w:r>
      <w:r>
        <w:t>an</w:t>
      </w:r>
      <w:r>
        <w:rPr>
          <w:spacing w:val="1"/>
        </w:rPr>
        <w:t xml:space="preserve"> </w:t>
      </w:r>
      <w:r>
        <w:t>industrial</w:t>
      </w:r>
      <w:r>
        <w:rPr>
          <w:spacing w:val="1"/>
        </w:rPr>
        <w:t xml:space="preserve"> </w:t>
      </w:r>
      <w:r>
        <w:t>undertaking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business</w:t>
      </w:r>
      <w:r>
        <w:rPr>
          <w:spacing w:val="1"/>
        </w:rPr>
        <w:t xml:space="preserve"> </w:t>
      </w:r>
      <w:r>
        <w:t>concern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any</w:t>
      </w:r>
      <w:r>
        <w:rPr>
          <w:spacing w:val="60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establishment, by whatever name called, engaged in the manufacture or production of goods, in any</w:t>
      </w:r>
      <w:r>
        <w:rPr>
          <w:spacing w:val="1"/>
        </w:rPr>
        <w:t xml:space="preserve"> </w:t>
      </w:r>
      <w:r>
        <w:t>manner, pertaining to any industry specified in the First Schedule to the Indu</w:t>
      </w:r>
      <w:r>
        <w:t>stries (Development and</w:t>
      </w:r>
      <w:r>
        <w:rPr>
          <w:spacing w:val="1"/>
        </w:rPr>
        <w:t xml:space="preserve"> </w:t>
      </w:r>
      <w:r>
        <w:t>Regulation) Act, 1951 (55 of 1951) or engaged in providing or rendering of any service or services;</w:t>
      </w:r>
    </w:p>
    <w:p w:rsidR="008B198D" w:rsidRDefault="008B198D">
      <w:pPr>
        <w:pStyle w:val="BodyText"/>
        <w:spacing w:before="2"/>
        <w:rPr>
          <w:sz w:val="21"/>
        </w:rPr>
      </w:pPr>
    </w:p>
    <w:p w:rsidR="008B198D" w:rsidRDefault="0070278B">
      <w:pPr>
        <w:pStyle w:val="BodyText"/>
        <w:spacing w:line="247" w:lineRule="auto"/>
        <w:ind w:left="760" w:right="679"/>
        <w:jc w:val="both"/>
      </w:pPr>
      <w:r>
        <w:rPr>
          <w:b/>
        </w:rPr>
        <w:t>Section</w:t>
      </w:r>
      <w:r>
        <w:rPr>
          <w:b/>
          <w:spacing w:val="44"/>
        </w:rPr>
        <w:t xml:space="preserve"> </w:t>
      </w:r>
      <w:r>
        <w:rPr>
          <w:b/>
        </w:rPr>
        <w:t>2(b)</w:t>
      </w:r>
      <w:r>
        <w:rPr>
          <w:b/>
          <w:spacing w:val="44"/>
        </w:rPr>
        <w:t xml:space="preserve"> </w:t>
      </w:r>
      <w:r>
        <w:t>“appointed</w:t>
      </w:r>
      <w:r>
        <w:rPr>
          <w:spacing w:val="44"/>
        </w:rPr>
        <w:t xml:space="preserve"> </w:t>
      </w:r>
      <w:r>
        <w:t>day”</w:t>
      </w:r>
      <w:r>
        <w:rPr>
          <w:spacing w:val="44"/>
        </w:rPr>
        <w:t xml:space="preserve"> </w:t>
      </w:r>
      <w:r>
        <w:t>means</w:t>
      </w:r>
      <w:r>
        <w:rPr>
          <w:spacing w:val="44"/>
        </w:rPr>
        <w:t xml:space="preserve"> </w:t>
      </w:r>
      <w:r>
        <w:t>the</w:t>
      </w:r>
      <w:r>
        <w:rPr>
          <w:spacing w:val="44"/>
        </w:rPr>
        <w:t xml:space="preserve"> </w:t>
      </w:r>
      <w:r>
        <w:t>day</w:t>
      </w:r>
      <w:r>
        <w:rPr>
          <w:spacing w:val="44"/>
        </w:rPr>
        <w:t xml:space="preserve"> </w:t>
      </w:r>
      <w:r>
        <w:t>following</w:t>
      </w:r>
      <w:r>
        <w:rPr>
          <w:spacing w:val="44"/>
        </w:rPr>
        <w:t xml:space="preserve"> </w:t>
      </w:r>
      <w:r>
        <w:t>immediately</w:t>
      </w:r>
      <w:r>
        <w:rPr>
          <w:spacing w:val="44"/>
        </w:rPr>
        <w:t xml:space="preserve"> </w:t>
      </w:r>
      <w:r>
        <w:t>after</w:t>
      </w:r>
      <w:r>
        <w:rPr>
          <w:spacing w:val="44"/>
        </w:rPr>
        <w:t xml:space="preserve"> </w:t>
      </w:r>
      <w:r>
        <w:t>the</w:t>
      </w:r>
      <w:r>
        <w:rPr>
          <w:spacing w:val="44"/>
        </w:rPr>
        <w:t xml:space="preserve"> </w:t>
      </w:r>
      <w:r>
        <w:t>expiry</w:t>
      </w:r>
      <w:r>
        <w:rPr>
          <w:spacing w:val="44"/>
        </w:rPr>
        <w:t xml:space="preserve"> </w:t>
      </w:r>
      <w:r>
        <w:t>of</w:t>
      </w:r>
      <w:r>
        <w:rPr>
          <w:spacing w:val="44"/>
        </w:rPr>
        <w:t xml:space="preserve"> </w:t>
      </w:r>
      <w:r>
        <w:t>the</w:t>
      </w:r>
      <w:r>
        <w:rPr>
          <w:spacing w:val="44"/>
        </w:rPr>
        <w:t xml:space="preserve"> </w:t>
      </w:r>
      <w:r>
        <w:t>period</w:t>
      </w:r>
      <w:r>
        <w:rPr>
          <w:spacing w:val="44"/>
        </w:rPr>
        <w:t xml:space="preserve"> </w:t>
      </w:r>
      <w:r>
        <w:t>of</w:t>
      </w:r>
      <w:r>
        <w:rPr>
          <w:spacing w:val="-58"/>
        </w:rPr>
        <w:t xml:space="preserve"> </w:t>
      </w:r>
      <w:r>
        <w:t>fifteen days from the day of acc</w:t>
      </w:r>
      <w:r>
        <w:t>eptance or the day of deemed acceptance of any goods or any services by a</w:t>
      </w:r>
      <w:r>
        <w:rPr>
          <w:spacing w:val="-57"/>
        </w:rPr>
        <w:t xml:space="preserve"> </w:t>
      </w:r>
      <w:r>
        <w:t>buyer from a supplier.</w:t>
      </w:r>
    </w:p>
    <w:p w:rsidR="008B198D" w:rsidRDefault="008B198D">
      <w:pPr>
        <w:pStyle w:val="BodyText"/>
        <w:spacing w:before="1"/>
        <w:rPr>
          <w:sz w:val="21"/>
        </w:rPr>
      </w:pPr>
    </w:p>
    <w:p w:rsidR="008B198D" w:rsidRDefault="0070278B">
      <w:pPr>
        <w:pStyle w:val="BodyText"/>
        <w:spacing w:line="247" w:lineRule="auto"/>
        <w:ind w:left="760" w:right="679"/>
        <w:jc w:val="both"/>
      </w:pPr>
      <w:r>
        <w:t>Explanation.—For the purposes of this clause,— (</w:t>
      </w:r>
      <w:proofErr w:type="spellStart"/>
      <w:r>
        <w:t>i</w:t>
      </w:r>
      <w:proofErr w:type="spellEnd"/>
      <w:r>
        <w:t>) “the day of acceptance” means,— (a) the day of the</w:t>
      </w:r>
      <w:r>
        <w:rPr>
          <w:spacing w:val="1"/>
        </w:rPr>
        <w:t xml:space="preserve"> </w:t>
      </w:r>
      <w:r>
        <w:t>actual delivery of goods or the rendering of services; o</w:t>
      </w:r>
      <w:r>
        <w:t>r (b) where any objection is made in writing by the</w:t>
      </w:r>
      <w:r>
        <w:rPr>
          <w:spacing w:val="1"/>
        </w:rPr>
        <w:t xml:space="preserve"> </w:t>
      </w:r>
      <w:r>
        <w:t>buyer regarding acceptance of goods or services within fifteen days from the day of the delivery of goods</w:t>
      </w:r>
      <w:r>
        <w:rPr>
          <w:spacing w:val="1"/>
        </w:rPr>
        <w:t xml:space="preserve"> </w:t>
      </w:r>
      <w:r>
        <w:t>or the rendering of services, the day on which such objection is removed by the supplier; (ii) “th</w:t>
      </w:r>
      <w:r>
        <w:t>e day of</w:t>
      </w:r>
      <w:r>
        <w:rPr>
          <w:spacing w:val="1"/>
        </w:rPr>
        <w:t xml:space="preserve"> </w:t>
      </w:r>
      <w:r>
        <w:t>deemed acceptance” means, where no objection is made in writing by the buyer regarding acceptance of</w:t>
      </w:r>
      <w:r>
        <w:rPr>
          <w:spacing w:val="1"/>
        </w:rPr>
        <w:t xml:space="preserve"> </w:t>
      </w:r>
      <w:r>
        <w:t>goods or services within fifteen days from the day of the delivery of goods or the rendering of services, the</w:t>
      </w:r>
      <w:r>
        <w:rPr>
          <w:spacing w:val="-57"/>
        </w:rPr>
        <w:t xml:space="preserve"> </w:t>
      </w:r>
      <w:r>
        <w:t xml:space="preserve">day of the actual delivery of goods </w:t>
      </w:r>
      <w:r>
        <w:t>or the rendering of services;</w:t>
      </w:r>
    </w:p>
    <w:p w:rsidR="008B198D" w:rsidRDefault="008B198D">
      <w:pPr>
        <w:pStyle w:val="BodyText"/>
        <w:spacing w:before="4"/>
        <w:rPr>
          <w:sz w:val="21"/>
        </w:rPr>
      </w:pPr>
    </w:p>
    <w:p w:rsidR="008B198D" w:rsidRDefault="0070278B">
      <w:pPr>
        <w:spacing w:line="247" w:lineRule="auto"/>
        <w:ind w:left="760" w:right="678"/>
        <w:jc w:val="both"/>
        <w:rPr>
          <w:b/>
          <w:sz w:val="24"/>
        </w:rPr>
      </w:pPr>
      <w:r>
        <w:rPr>
          <w:b/>
          <w:sz w:val="24"/>
        </w:rPr>
        <w:t xml:space="preserve">Section 15 </w:t>
      </w:r>
      <w:r>
        <w:rPr>
          <w:sz w:val="24"/>
        </w:rPr>
        <w:t xml:space="preserve">of the MSMED Act mandates payments to MSMEs within the time as </w:t>
      </w:r>
      <w:r>
        <w:rPr>
          <w:b/>
          <w:sz w:val="24"/>
        </w:rPr>
        <w:t>per the written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agreement, which cannot be more than 45 days. If there is no such written agreement, the section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mandates that the payment shall be made within 15 days.</w:t>
      </w:r>
    </w:p>
    <w:p w:rsidR="008B198D" w:rsidRDefault="008B198D">
      <w:pPr>
        <w:pStyle w:val="BodyText"/>
        <w:spacing w:before="1"/>
        <w:rPr>
          <w:b/>
          <w:sz w:val="21"/>
        </w:rPr>
      </w:pPr>
    </w:p>
    <w:p w:rsidR="008B198D" w:rsidRDefault="0070278B">
      <w:pPr>
        <w:pStyle w:val="BodyText"/>
        <w:spacing w:line="247" w:lineRule="auto"/>
        <w:ind w:left="760" w:right="679"/>
        <w:jc w:val="both"/>
      </w:pPr>
      <w:r>
        <w:rPr>
          <w:b/>
        </w:rPr>
        <w:t xml:space="preserve">Section 16 </w:t>
      </w:r>
      <w:r>
        <w:t>of the MSMED Act provides, if payment is not made within the time limit specified under</w:t>
      </w:r>
      <w:r>
        <w:rPr>
          <w:spacing w:val="1"/>
        </w:rPr>
        <w:t xml:space="preserve"> </w:t>
      </w:r>
      <w:r>
        <w:t>section 15, then the interest payable shall be three times of the bank rate notified by the RBI.</w:t>
      </w:r>
    </w:p>
    <w:p w:rsidR="008B198D" w:rsidRDefault="008B198D">
      <w:pPr>
        <w:pStyle w:val="BodyText"/>
        <w:spacing w:before="1"/>
        <w:rPr>
          <w:sz w:val="21"/>
        </w:rPr>
      </w:pPr>
    </w:p>
    <w:p w:rsidR="008B198D" w:rsidRDefault="0070278B">
      <w:pPr>
        <w:pStyle w:val="BodyText"/>
        <w:spacing w:line="247" w:lineRule="auto"/>
        <w:ind w:left="760" w:right="678"/>
        <w:jc w:val="both"/>
      </w:pPr>
      <w:r>
        <w:rPr>
          <w:b/>
        </w:rPr>
        <w:t>Se</w:t>
      </w:r>
      <w:r>
        <w:rPr>
          <w:b/>
        </w:rPr>
        <w:t xml:space="preserve">ction 23 </w:t>
      </w:r>
      <w:r>
        <w:t xml:space="preserve">of MSMED Act provides, notwithstanding anything contained in the Income </w:t>
      </w:r>
      <w:proofErr w:type="gramStart"/>
      <w:r>
        <w:t>tax</w:t>
      </w:r>
      <w:proofErr w:type="gramEnd"/>
      <w:r>
        <w:t xml:space="preserve"> Act, 1961 (43</w:t>
      </w:r>
      <w:r>
        <w:rPr>
          <w:spacing w:val="1"/>
        </w:rPr>
        <w:t xml:space="preserve"> </w:t>
      </w:r>
      <w:r>
        <w:t>of 1961), the amount of interest payable or paid by any buyer, under or in accordance with the provisions</w:t>
      </w:r>
      <w:r>
        <w:rPr>
          <w:spacing w:val="1"/>
        </w:rPr>
        <w:t xml:space="preserve"> </w:t>
      </w:r>
      <w:r>
        <w:t>of this Act, shall not, for the purposes of computa</w:t>
      </w:r>
      <w:r>
        <w:t>tion of income under the Income Tax Act, 1961, be</w:t>
      </w:r>
      <w:r>
        <w:rPr>
          <w:spacing w:val="1"/>
        </w:rPr>
        <w:t xml:space="preserve"> </w:t>
      </w:r>
      <w:r>
        <w:t>allowed as deduction.</w:t>
      </w:r>
    </w:p>
    <w:p w:rsidR="008B198D" w:rsidRDefault="008B198D">
      <w:pPr>
        <w:pStyle w:val="BodyText"/>
        <w:spacing w:before="2"/>
        <w:rPr>
          <w:sz w:val="21"/>
        </w:rPr>
      </w:pPr>
    </w:p>
    <w:p w:rsidR="008B198D" w:rsidRDefault="0070278B">
      <w:pPr>
        <w:pStyle w:val="BodyText"/>
        <w:spacing w:line="247" w:lineRule="auto"/>
        <w:ind w:left="760" w:right="678"/>
        <w:jc w:val="both"/>
      </w:pPr>
      <w:r>
        <w:rPr>
          <w:b/>
        </w:rPr>
        <w:t>Section</w:t>
      </w:r>
      <w:r>
        <w:rPr>
          <w:b/>
          <w:spacing w:val="1"/>
        </w:rPr>
        <w:t xml:space="preserve"> </w:t>
      </w:r>
      <w:r>
        <w:rPr>
          <w:b/>
        </w:rPr>
        <w:t>24</w:t>
      </w:r>
      <w:r>
        <w:rPr>
          <w:b/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MSMED</w:t>
      </w:r>
      <w:r>
        <w:rPr>
          <w:spacing w:val="1"/>
        </w:rPr>
        <w:t xml:space="preserve"> </w:t>
      </w:r>
      <w:r>
        <w:t>Act</w:t>
      </w:r>
      <w:r>
        <w:rPr>
          <w:spacing w:val="1"/>
        </w:rPr>
        <w:t xml:space="preserve"> </w:t>
      </w:r>
      <w:r>
        <w:t>provides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provisions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sections</w:t>
      </w:r>
      <w:r>
        <w:rPr>
          <w:spacing w:val="1"/>
        </w:rPr>
        <w:t xml:space="preserve"> </w:t>
      </w:r>
      <w:r>
        <w:t>15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23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effect</w:t>
      </w:r>
      <w:r>
        <w:rPr>
          <w:spacing w:val="1"/>
        </w:rPr>
        <w:t xml:space="preserve"> </w:t>
      </w:r>
      <w:r>
        <w:t>notwithstanding anything inconsistent therewith contained in any other law for the time bei</w:t>
      </w:r>
      <w:r>
        <w:t>ng in force is</w:t>
      </w:r>
      <w:r>
        <w:rPr>
          <w:spacing w:val="1"/>
        </w:rPr>
        <w:t xml:space="preserve"> </w:t>
      </w:r>
      <w:r>
        <w:t>having</w:t>
      </w:r>
      <w:r>
        <w:rPr>
          <w:spacing w:val="29"/>
        </w:rPr>
        <w:t xml:space="preserve"> </w:t>
      </w:r>
      <w:r>
        <w:t>overriding</w:t>
      </w:r>
      <w:r>
        <w:rPr>
          <w:spacing w:val="29"/>
        </w:rPr>
        <w:t xml:space="preserve"> </w:t>
      </w:r>
      <w:r>
        <w:t>effect</w:t>
      </w:r>
      <w:r>
        <w:rPr>
          <w:spacing w:val="29"/>
        </w:rPr>
        <w:t xml:space="preserve"> </w:t>
      </w:r>
      <w:r>
        <w:t>to</w:t>
      </w:r>
      <w:r>
        <w:rPr>
          <w:spacing w:val="29"/>
        </w:rPr>
        <w:t xml:space="preserve"> </w:t>
      </w:r>
      <w:r>
        <w:t>the</w:t>
      </w:r>
      <w:r>
        <w:rPr>
          <w:spacing w:val="29"/>
        </w:rPr>
        <w:t xml:space="preserve"> </w:t>
      </w:r>
      <w:r>
        <w:t>extent</w:t>
      </w:r>
      <w:r>
        <w:rPr>
          <w:spacing w:val="29"/>
        </w:rPr>
        <w:t xml:space="preserve"> </w:t>
      </w:r>
      <w:r>
        <w:t>of</w:t>
      </w:r>
      <w:r>
        <w:rPr>
          <w:spacing w:val="29"/>
        </w:rPr>
        <w:t xml:space="preserve"> </w:t>
      </w:r>
      <w:r>
        <w:t>any</w:t>
      </w:r>
      <w:r>
        <w:rPr>
          <w:spacing w:val="29"/>
        </w:rPr>
        <w:t xml:space="preserve"> </w:t>
      </w:r>
      <w:r>
        <w:t>inconsistent</w:t>
      </w:r>
      <w:r>
        <w:rPr>
          <w:spacing w:val="29"/>
        </w:rPr>
        <w:t xml:space="preserve"> </w:t>
      </w:r>
      <w:r>
        <w:t>provisions</w:t>
      </w:r>
      <w:r>
        <w:rPr>
          <w:spacing w:val="29"/>
        </w:rPr>
        <w:t xml:space="preserve"> </w:t>
      </w:r>
      <w:r>
        <w:t>contained</w:t>
      </w:r>
      <w:r>
        <w:rPr>
          <w:spacing w:val="29"/>
        </w:rPr>
        <w:t xml:space="preserve"> </w:t>
      </w:r>
      <w:r>
        <w:t>in</w:t>
      </w:r>
      <w:r>
        <w:rPr>
          <w:spacing w:val="29"/>
        </w:rPr>
        <w:t xml:space="preserve"> </w:t>
      </w:r>
      <w:r>
        <w:t>any</w:t>
      </w:r>
      <w:r>
        <w:rPr>
          <w:spacing w:val="29"/>
        </w:rPr>
        <w:t xml:space="preserve"> </w:t>
      </w:r>
      <w:r>
        <w:t>other</w:t>
      </w:r>
      <w:r>
        <w:rPr>
          <w:spacing w:val="29"/>
        </w:rPr>
        <w:t xml:space="preserve"> </w:t>
      </w:r>
      <w:r>
        <w:t>law</w:t>
      </w:r>
      <w:r>
        <w:rPr>
          <w:spacing w:val="29"/>
        </w:rPr>
        <w:t xml:space="preserve"> </w:t>
      </w:r>
      <w:r>
        <w:t>for</w:t>
      </w:r>
      <w:r>
        <w:rPr>
          <w:spacing w:val="29"/>
        </w:rPr>
        <w:t xml:space="preserve"> </w:t>
      </w:r>
      <w:r>
        <w:t>the</w:t>
      </w:r>
      <w:r>
        <w:rPr>
          <w:spacing w:val="-57"/>
        </w:rPr>
        <w:t xml:space="preserve"> </w:t>
      </w:r>
      <w:r>
        <w:t>time being.</w:t>
      </w:r>
    </w:p>
    <w:p w:rsidR="008B198D" w:rsidRDefault="008B198D">
      <w:pPr>
        <w:pStyle w:val="BodyText"/>
        <w:spacing w:before="2"/>
        <w:rPr>
          <w:sz w:val="21"/>
        </w:rPr>
      </w:pPr>
    </w:p>
    <w:p w:rsidR="008B198D" w:rsidRDefault="0070278B">
      <w:pPr>
        <w:pStyle w:val="Heading1"/>
      </w:pPr>
      <w:r>
        <w:t>Definition of Micro, small and Medium Enterprises as per section 7 of MSMED Act, 2006</w:t>
      </w:r>
    </w:p>
    <w:p w:rsidR="008B198D" w:rsidRDefault="0070278B">
      <w:pPr>
        <w:pStyle w:val="BodyText"/>
        <w:tabs>
          <w:tab w:val="left" w:pos="1500"/>
          <w:tab w:val="left" w:pos="1916"/>
          <w:tab w:val="left" w:pos="2638"/>
          <w:tab w:val="left" w:pos="3045"/>
          <w:tab w:val="left" w:pos="6505"/>
          <w:tab w:val="left" w:pos="6565"/>
          <w:tab w:val="left" w:pos="10165"/>
        </w:tabs>
        <w:spacing w:before="70" w:line="480" w:lineRule="atLeast"/>
        <w:ind w:left="205" w:right="40"/>
      </w:pPr>
      <w:r>
        <w:t>Particulars</w:t>
      </w:r>
      <w:r>
        <w:tab/>
      </w:r>
      <w:r>
        <w:tab/>
      </w:r>
      <w:r>
        <w:tab/>
      </w:r>
      <w:r>
        <w:tab/>
        <w:t>Micro</w:t>
      </w:r>
      <w:r>
        <w:tab/>
        <w:t>Small</w:t>
      </w:r>
      <w:r>
        <w:tab/>
        <w:t>Medium</w:t>
      </w:r>
      <w:r>
        <w:rPr>
          <w:spacing w:val="1"/>
        </w:rPr>
        <w:t xml:space="preserve"> </w:t>
      </w:r>
      <w:r>
        <w:rPr>
          <w:position w:val="14"/>
        </w:rPr>
        <w:t>Investment</w:t>
      </w:r>
      <w:r>
        <w:rPr>
          <w:position w:val="14"/>
        </w:rPr>
        <w:tab/>
        <w:t>in</w:t>
      </w:r>
      <w:r>
        <w:rPr>
          <w:position w:val="14"/>
        </w:rPr>
        <w:tab/>
        <w:t>Plant</w:t>
      </w:r>
      <w:r>
        <w:rPr>
          <w:position w:val="14"/>
        </w:rPr>
        <w:tab/>
        <w:t xml:space="preserve">and </w:t>
      </w:r>
      <w:r>
        <w:t xml:space="preserve">Not more than </w:t>
      </w:r>
      <w:proofErr w:type="spellStart"/>
      <w:r>
        <w:t>Rs</w:t>
      </w:r>
      <w:proofErr w:type="spellEnd"/>
      <w:r>
        <w:t xml:space="preserve">. 1 </w:t>
      </w:r>
      <w:proofErr w:type="gramStart"/>
      <w:r>
        <w:t>crores</w:t>
      </w:r>
      <w:proofErr w:type="gramEnd"/>
      <w:r>
        <w:t xml:space="preserve"> and</w:t>
      </w:r>
      <w:r>
        <w:tab/>
      </w:r>
      <w:r>
        <w:tab/>
        <w:t xml:space="preserve">Not more than </w:t>
      </w:r>
      <w:proofErr w:type="spellStart"/>
      <w:r>
        <w:t>Rs</w:t>
      </w:r>
      <w:proofErr w:type="spellEnd"/>
      <w:r>
        <w:t>. 10 crores and</w:t>
      </w:r>
      <w:r>
        <w:tab/>
      </w:r>
      <w:r>
        <w:rPr>
          <w:position w:val="14"/>
        </w:rPr>
        <w:t>Not</w:t>
      </w:r>
      <w:r>
        <w:rPr>
          <w:spacing w:val="54"/>
          <w:position w:val="14"/>
        </w:rPr>
        <w:t xml:space="preserve"> </w:t>
      </w:r>
      <w:r>
        <w:rPr>
          <w:position w:val="14"/>
        </w:rPr>
        <w:t>more</w:t>
      </w:r>
      <w:r>
        <w:rPr>
          <w:spacing w:val="55"/>
          <w:position w:val="14"/>
        </w:rPr>
        <w:t xml:space="preserve"> </w:t>
      </w:r>
      <w:r>
        <w:rPr>
          <w:position w:val="14"/>
        </w:rPr>
        <w:t>than</w:t>
      </w:r>
    </w:p>
    <w:p w:rsidR="008B198D" w:rsidRDefault="0070278B">
      <w:pPr>
        <w:pStyle w:val="BodyText"/>
        <w:tabs>
          <w:tab w:val="left" w:pos="10165"/>
        </w:tabs>
        <w:spacing w:line="170" w:lineRule="exact"/>
        <w:ind w:left="205"/>
      </w:pPr>
      <w:r>
        <w:t>Equipment’s</w:t>
      </w:r>
      <w:r>
        <w:tab/>
        <w:t>and</w:t>
      </w:r>
    </w:p>
    <w:p w:rsidR="008B198D" w:rsidRDefault="0070278B">
      <w:pPr>
        <w:pStyle w:val="BodyText"/>
        <w:tabs>
          <w:tab w:val="left" w:pos="3045"/>
          <w:tab w:val="left" w:pos="6505"/>
          <w:tab w:val="left" w:pos="10165"/>
        </w:tabs>
        <w:spacing w:before="69"/>
        <w:ind w:left="205" w:right="-58"/>
      </w:pPr>
      <w:r>
        <w:t>Turnover</w:t>
      </w:r>
      <w:r>
        <w:tab/>
        <w:t xml:space="preserve">Not more than </w:t>
      </w:r>
      <w:proofErr w:type="spellStart"/>
      <w:r>
        <w:t>Rs</w:t>
      </w:r>
      <w:proofErr w:type="spellEnd"/>
      <w:r>
        <w:t>. 5 crores.</w:t>
      </w:r>
      <w:r>
        <w:tab/>
        <w:t xml:space="preserve">Not more than </w:t>
      </w:r>
      <w:proofErr w:type="spellStart"/>
      <w:r>
        <w:t>Rs</w:t>
      </w:r>
      <w:proofErr w:type="spellEnd"/>
      <w:r>
        <w:t>. 50 crores.</w:t>
      </w:r>
      <w:r>
        <w:tab/>
        <w:t>Not</w:t>
      </w:r>
      <w:r>
        <w:rPr>
          <w:spacing w:val="-5"/>
        </w:rPr>
        <w:t xml:space="preserve"> </w:t>
      </w:r>
      <w:r>
        <w:t>more</w:t>
      </w:r>
      <w:r>
        <w:rPr>
          <w:spacing w:val="-4"/>
        </w:rPr>
        <w:t xml:space="preserve"> </w:t>
      </w:r>
      <w:r>
        <w:t>than</w:t>
      </w:r>
      <w:r>
        <w:rPr>
          <w:spacing w:val="-4"/>
        </w:rPr>
        <w:t xml:space="preserve"> </w:t>
      </w:r>
      <w:r>
        <w:t>R</w:t>
      </w:r>
    </w:p>
    <w:p w:rsidR="008B198D" w:rsidRDefault="008B198D">
      <w:pPr>
        <w:pStyle w:val="BodyText"/>
        <w:rPr>
          <w:sz w:val="20"/>
        </w:rPr>
      </w:pPr>
    </w:p>
    <w:p w:rsidR="008B198D" w:rsidRDefault="008B198D">
      <w:pPr>
        <w:pStyle w:val="BodyText"/>
        <w:rPr>
          <w:sz w:val="20"/>
        </w:rPr>
      </w:pPr>
    </w:p>
    <w:p w:rsidR="008B198D" w:rsidRDefault="008B198D">
      <w:pPr>
        <w:pStyle w:val="BodyText"/>
        <w:rPr>
          <w:sz w:val="20"/>
        </w:rPr>
      </w:pPr>
    </w:p>
    <w:p w:rsidR="008B198D" w:rsidRDefault="008B198D">
      <w:pPr>
        <w:pStyle w:val="BodyText"/>
        <w:spacing w:before="5"/>
        <w:rPr>
          <w:sz w:val="16"/>
        </w:rPr>
      </w:pPr>
    </w:p>
    <w:p w:rsidR="008B198D" w:rsidRDefault="0070278B">
      <w:pPr>
        <w:pStyle w:val="Heading1"/>
        <w:numPr>
          <w:ilvl w:val="0"/>
          <w:numId w:val="1"/>
        </w:numPr>
        <w:tabs>
          <w:tab w:val="left" w:pos="454"/>
        </w:tabs>
        <w:spacing w:before="90"/>
      </w:pPr>
      <w:r>
        <w:t>APPLICABILITY TO TRADER/DISTRIBUTORS: –</w:t>
      </w:r>
    </w:p>
    <w:p w:rsidR="008B198D" w:rsidRDefault="008B198D">
      <w:pPr>
        <w:pStyle w:val="BodyText"/>
        <w:spacing w:before="7"/>
        <w:rPr>
          <w:b/>
          <w:sz w:val="21"/>
        </w:rPr>
      </w:pPr>
    </w:p>
    <w:p w:rsidR="008B198D" w:rsidRDefault="0070278B">
      <w:pPr>
        <w:pStyle w:val="BodyText"/>
        <w:spacing w:line="247" w:lineRule="auto"/>
        <w:ind w:left="160" w:right="669"/>
      </w:pPr>
      <w:r>
        <w:t>As</w:t>
      </w:r>
      <w:r>
        <w:rPr>
          <w:spacing w:val="30"/>
        </w:rPr>
        <w:t xml:space="preserve"> </w:t>
      </w:r>
      <w:r>
        <w:t>per</w:t>
      </w:r>
      <w:r>
        <w:rPr>
          <w:spacing w:val="30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t>definition</w:t>
      </w:r>
      <w:r>
        <w:rPr>
          <w:spacing w:val="30"/>
        </w:rPr>
        <w:t xml:space="preserve"> </w:t>
      </w:r>
      <w:r>
        <w:t>of</w:t>
      </w:r>
      <w:r>
        <w:rPr>
          <w:spacing w:val="30"/>
        </w:rPr>
        <w:t xml:space="preserve"> </w:t>
      </w:r>
      <w:r>
        <w:t>enterprises,</w:t>
      </w:r>
      <w:r>
        <w:rPr>
          <w:spacing w:val="30"/>
        </w:rPr>
        <w:t xml:space="preserve"> </w:t>
      </w:r>
      <w:r>
        <w:t>only</w:t>
      </w:r>
      <w:r>
        <w:rPr>
          <w:spacing w:val="30"/>
        </w:rPr>
        <w:t xml:space="preserve"> </w:t>
      </w:r>
      <w:r>
        <w:t>persons</w:t>
      </w:r>
      <w:r>
        <w:rPr>
          <w:spacing w:val="30"/>
        </w:rPr>
        <w:t xml:space="preserve"> </w:t>
      </w:r>
      <w:r>
        <w:t>dealing</w:t>
      </w:r>
      <w:r>
        <w:rPr>
          <w:spacing w:val="30"/>
        </w:rPr>
        <w:t xml:space="preserve"> </w:t>
      </w:r>
      <w:r>
        <w:t>in</w:t>
      </w:r>
      <w:r>
        <w:rPr>
          <w:spacing w:val="30"/>
        </w:rPr>
        <w:t xml:space="preserve"> </w:t>
      </w:r>
      <w:r>
        <w:t>either</w:t>
      </w:r>
      <w:r>
        <w:rPr>
          <w:spacing w:val="30"/>
        </w:rPr>
        <w:t xml:space="preserve"> </w:t>
      </w:r>
      <w:r>
        <w:t>Manufacturing</w:t>
      </w:r>
      <w:r>
        <w:rPr>
          <w:spacing w:val="30"/>
        </w:rPr>
        <w:t xml:space="preserve"> </w:t>
      </w:r>
      <w:r>
        <w:t>of</w:t>
      </w:r>
      <w:r>
        <w:rPr>
          <w:spacing w:val="30"/>
        </w:rPr>
        <w:t xml:space="preserve"> </w:t>
      </w:r>
      <w:r>
        <w:t>Goods</w:t>
      </w:r>
      <w:r>
        <w:rPr>
          <w:spacing w:val="30"/>
        </w:rPr>
        <w:t xml:space="preserve"> </w:t>
      </w:r>
      <w:r>
        <w:t>or</w:t>
      </w:r>
      <w:r>
        <w:rPr>
          <w:spacing w:val="30"/>
        </w:rPr>
        <w:t xml:space="preserve"> </w:t>
      </w:r>
      <w:r>
        <w:t>providing</w:t>
      </w:r>
      <w:r>
        <w:rPr>
          <w:spacing w:val="30"/>
        </w:rPr>
        <w:t xml:space="preserve"> </w:t>
      </w:r>
      <w:r>
        <w:t>any</w:t>
      </w:r>
      <w:r>
        <w:rPr>
          <w:spacing w:val="-57"/>
        </w:rPr>
        <w:t xml:space="preserve"> </w:t>
      </w:r>
      <w:r>
        <w:t>services</w:t>
      </w:r>
      <w:r>
        <w:rPr>
          <w:spacing w:val="26"/>
        </w:rPr>
        <w:t xml:space="preserve"> </w:t>
      </w:r>
      <w:r>
        <w:t>will</w:t>
      </w:r>
      <w:r>
        <w:rPr>
          <w:spacing w:val="26"/>
        </w:rPr>
        <w:t xml:space="preserve"> </w:t>
      </w:r>
      <w:r>
        <w:t>be</w:t>
      </w:r>
      <w:r>
        <w:rPr>
          <w:spacing w:val="26"/>
        </w:rPr>
        <w:t xml:space="preserve"> </w:t>
      </w:r>
      <w:r>
        <w:t>classified</w:t>
      </w:r>
      <w:r>
        <w:rPr>
          <w:spacing w:val="26"/>
        </w:rPr>
        <w:t xml:space="preserve"> </w:t>
      </w:r>
      <w:r>
        <w:t>as</w:t>
      </w:r>
      <w:r>
        <w:rPr>
          <w:spacing w:val="26"/>
        </w:rPr>
        <w:t xml:space="preserve"> </w:t>
      </w:r>
      <w:r>
        <w:t>an</w:t>
      </w:r>
      <w:r>
        <w:rPr>
          <w:spacing w:val="26"/>
        </w:rPr>
        <w:t xml:space="preserve"> </w:t>
      </w:r>
      <w:r>
        <w:t>Enterprise.</w:t>
      </w:r>
      <w:r>
        <w:rPr>
          <w:spacing w:val="26"/>
        </w:rPr>
        <w:t xml:space="preserve"> </w:t>
      </w:r>
      <w:r>
        <w:t>One</w:t>
      </w:r>
      <w:r>
        <w:rPr>
          <w:spacing w:val="26"/>
        </w:rPr>
        <w:t xml:space="preserve"> </w:t>
      </w:r>
      <w:r>
        <w:t>could</w:t>
      </w:r>
      <w:r>
        <w:rPr>
          <w:spacing w:val="26"/>
        </w:rPr>
        <w:t xml:space="preserve"> </w:t>
      </w:r>
      <w:r>
        <w:t>surely</w:t>
      </w:r>
      <w:r>
        <w:rPr>
          <w:spacing w:val="26"/>
        </w:rPr>
        <w:t xml:space="preserve"> </w:t>
      </w:r>
      <w:r>
        <w:t>take</w:t>
      </w:r>
      <w:r>
        <w:rPr>
          <w:spacing w:val="26"/>
        </w:rPr>
        <w:t xml:space="preserve"> </w:t>
      </w:r>
      <w:r>
        <w:t>a</w:t>
      </w:r>
      <w:r>
        <w:rPr>
          <w:spacing w:val="26"/>
        </w:rPr>
        <w:t xml:space="preserve"> </w:t>
      </w:r>
      <w:r>
        <w:t>stand</w:t>
      </w:r>
      <w:r>
        <w:rPr>
          <w:spacing w:val="26"/>
        </w:rPr>
        <w:t xml:space="preserve"> </w:t>
      </w:r>
      <w:r>
        <w:t>that</w:t>
      </w:r>
      <w:r>
        <w:rPr>
          <w:spacing w:val="26"/>
        </w:rPr>
        <w:t xml:space="preserve"> </w:t>
      </w:r>
      <w:r>
        <w:t>trader</w:t>
      </w:r>
      <w:r>
        <w:rPr>
          <w:spacing w:val="26"/>
        </w:rPr>
        <w:t xml:space="preserve"> </w:t>
      </w:r>
      <w:r>
        <w:t>/Retailer/Distributor,</w:t>
      </w:r>
      <w:r>
        <w:rPr>
          <w:spacing w:val="26"/>
        </w:rPr>
        <w:t xml:space="preserve"> </w:t>
      </w:r>
      <w:proofErr w:type="spellStart"/>
      <w:r>
        <w:t>etc</w:t>
      </w:r>
      <w:proofErr w:type="spellEnd"/>
    </w:p>
    <w:p w:rsidR="008B198D" w:rsidRDefault="008B198D">
      <w:pPr>
        <w:spacing w:line="247" w:lineRule="auto"/>
        <w:sectPr w:rsidR="008B198D">
          <w:pgSz w:w="12240" w:h="15840"/>
          <w:pgMar w:top="620" w:right="0" w:bottom="280" w:left="520" w:header="720" w:footer="720" w:gutter="0"/>
          <w:cols w:space="720"/>
        </w:sectPr>
      </w:pPr>
    </w:p>
    <w:p w:rsidR="008B198D" w:rsidRDefault="0070278B">
      <w:pPr>
        <w:pStyle w:val="BodyText"/>
        <w:spacing w:before="64" w:line="247" w:lineRule="auto"/>
        <w:ind w:left="160" w:right="679"/>
        <w:jc w:val="both"/>
      </w:pPr>
      <w:r>
        <w:lastRenderedPageBreak/>
        <w:t>would</w:t>
      </w:r>
      <w:r>
        <w:rPr>
          <w:spacing w:val="58"/>
        </w:rPr>
        <w:t xml:space="preserve"> </w:t>
      </w:r>
      <w:r>
        <w:t>not</w:t>
      </w:r>
      <w:r>
        <w:rPr>
          <w:spacing w:val="58"/>
        </w:rPr>
        <w:t xml:space="preserve"> </w:t>
      </w:r>
      <w:r>
        <w:t>be</w:t>
      </w:r>
      <w:r>
        <w:rPr>
          <w:spacing w:val="58"/>
        </w:rPr>
        <w:t xml:space="preserve"> </w:t>
      </w:r>
      <w:r>
        <w:t>classified</w:t>
      </w:r>
      <w:r>
        <w:rPr>
          <w:spacing w:val="58"/>
        </w:rPr>
        <w:t xml:space="preserve"> </w:t>
      </w:r>
      <w:r>
        <w:t>as</w:t>
      </w:r>
      <w:r>
        <w:rPr>
          <w:spacing w:val="58"/>
        </w:rPr>
        <w:t xml:space="preserve"> </w:t>
      </w:r>
      <w:r>
        <w:t>an</w:t>
      </w:r>
      <w:r>
        <w:rPr>
          <w:spacing w:val="58"/>
        </w:rPr>
        <w:t xml:space="preserve"> </w:t>
      </w:r>
      <w:r>
        <w:t>Enterprise</w:t>
      </w:r>
      <w:r>
        <w:rPr>
          <w:spacing w:val="58"/>
        </w:rPr>
        <w:t xml:space="preserve"> </w:t>
      </w:r>
      <w:r>
        <w:t>and</w:t>
      </w:r>
      <w:r>
        <w:rPr>
          <w:spacing w:val="58"/>
        </w:rPr>
        <w:t xml:space="preserve"> </w:t>
      </w:r>
      <w:r>
        <w:t>would</w:t>
      </w:r>
      <w:r>
        <w:rPr>
          <w:spacing w:val="58"/>
        </w:rPr>
        <w:t xml:space="preserve"> </w:t>
      </w:r>
      <w:r>
        <w:t>not</w:t>
      </w:r>
      <w:r>
        <w:rPr>
          <w:spacing w:val="58"/>
        </w:rPr>
        <w:t xml:space="preserve"> </w:t>
      </w:r>
      <w:r>
        <w:t>be</w:t>
      </w:r>
      <w:r>
        <w:rPr>
          <w:spacing w:val="58"/>
        </w:rPr>
        <w:t xml:space="preserve"> </w:t>
      </w:r>
      <w:r>
        <w:t>covered</w:t>
      </w:r>
      <w:r>
        <w:rPr>
          <w:spacing w:val="58"/>
        </w:rPr>
        <w:t xml:space="preserve"> </w:t>
      </w:r>
      <w:r>
        <w:t>under</w:t>
      </w:r>
      <w:r>
        <w:rPr>
          <w:spacing w:val="58"/>
        </w:rPr>
        <w:t xml:space="preserve"> </w:t>
      </w:r>
      <w:r>
        <w:t>the</w:t>
      </w:r>
      <w:r>
        <w:rPr>
          <w:spacing w:val="58"/>
        </w:rPr>
        <w:t xml:space="preserve"> </w:t>
      </w:r>
      <w:r>
        <w:t>Micro</w:t>
      </w:r>
      <w:r>
        <w:rPr>
          <w:spacing w:val="58"/>
        </w:rPr>
        <w:t xml:space="preserve"> </w:t>
      </w:r>
      <w:r>
        <w:t>or</w:t>
      </w:r>
      <w:r>
        <w:rPr>
          <w:spacing w:val="58"/>
        </w:rPr>
        <w:t xml:space="preserve"> </w:t>
      </w:r>
      <w:r>
        <w:t>Small</w:t>
      </w:r>
      <w:r>
        <w:rPr>
          <w:spacing w:val="58"/>
        </w:rPr>
        <w:t xml:space="preserve"> </w:t>
      </w:r>
      <w:r>
        <w:t>Enterprise</w:t>
      </w:r>
      <w:r>
        <w:rPr>
          <w:spacing w:val="-58"/>
        </w:rPr>
        <w:t xml:space="preserve"> </w:t>
      </w:r>
      <w:r>
        <w:t>definition. AND</w:t>
      </w:r>
    </w:p>
    <w:p w:rsidR="008B198D" w:rsidRDefault="008B198D">
      <w:pPr>
        <w:pStyle w:val="BodyText"/>
        <w:rPr>
          <w:sz w:val="21"/>
        </w:rPr>
      </w:pPr>
    </w:p>
    <w:p w:rsidR="008B198D" w:rsidRDefault="0070278B">
      <w:pPr>
        <w:ind w:left="160"/>
        <w:jc w:val="both"/>
        <w:rPr>
          <w:b/>
          <w:sz w:val="24"/>
        </w:rPr>
      </w:pPr>
      <w:r>
        <w:rPr>
          <w:sz w:val="24"/>
        </w:rPr>
        <w:t>On</w:t>
      </w:r>
      <w:r>
        <w:rPr>
          <w:spacing w:val="10"/>
          <w:sz w:val="24"/>
        </w:rPr>
        <w:t xml:space="preserve"> </w:t>
      </w:r>
      <w:r>
        <w:rPr>
          <w:sz w:val="24"/>
        </w:rPr>
        <w:t>simple</w:t>
      </w:r>
      <w:r>
        <w:rPr>
          <w:spacing w:val="10"/>
          <w:sz w:val="24"/>
        </w:rPr>
        <w:t xml:space="preserve"> </w:t>
      </w:r>
      <w:r>
        <w:rPr>
          <w:sz w:val="24"/>
        </w:rPr>
        <w:t>reading</w:t>
      </w:r>
      <w:r>
        <w:rPr>
          <w:spacing w:val="10"/>
          <w:sz w:val="24"/>
        </w:rPr>
        <w:t xml:space="preserve"> </w:t>
      </w:r>
      <w:r>
        <w:rPr>
          <w:sz w:val="24"/>
        </w:rPr>
        <w:t>the</w:t>
      </w:r>
      <w:r>
        <w:rPr>
          <w:spacing w:val="11"/>
          <w:sz w:val="24"/>
        </w:rPr>
        <w:t xml:space="preserve"> </w:t>
      </w:r>
      <w:r>
        <w:rPr>
          <w:b/>
          <w:color w:val="800080"/>
          <w:sz w:val="24"/>
        </w:rPr>
        <w:t>Office</w:t>
      </w:r>
      <w:r>
        <w:rPr>
          <w:b/>
          <w:color w:val="800080"/>
          <w:spacing w:val="10"/>
          <w:sz w:val="24"/>
        </w:rPr>
        <w:t xml:space="preserve"> </w:t>
      </w:r>
      <w:r>
        <w:rPr>
          <w:b/>
          <w:color w:val="800080"/>
          <w:sz w:val="24"/>
        </w:rPr>
        <w:t>Memorandum</w:t>
      </w:r>
      <w:r>
        <w:rPr>
          <w:b/>
          <w:color w:val="800080"/>
          <w:spacing w:val="10"/>
          <w:sz w:val="24"/>
        </w:rPr>
        <w:t xml:space="preserve"> </w:t>
      </w:r>
      <w:r>
        <w:rPr>
          <w:b/>
          <w:color w:val="800080"/>
          <w:sz w:val="24"/>
        </w:rPr>
        <w:t>No.</w:t>
      </w:r>
      <w:r>
        <w:rPr>
          <w:b/>
          <w:color w:val="800080"/>
          <w:spacing w:val="10"/>
          <w:sz w:val="24"/>
        </w:rPr>
        <w:t xml:space="preserve"> </w:t>
      </w:r>
      <w:r>
        <w:rPr>
          <w:b/>
          <w:color w:val="800080"/>
          <w:sz w:val="24"/>
        </w:rPr>
        <w:t>No.</w:t>
      </w:r>
      <w:r>
        <w:rPr>
          <w:b/>
          <w:color w:val="800080"/>
          <w:spacing w:val="10"/>
          <w:sz w:val="24"/>
        </w:rPr>
        <w:t xml:space="preserve"> </w:t>
      </w:r>
      <w:r>
        <w:rPr>
          <w:b/>
          <w:color w:val="800080"/>
          <w:sz w:val="24"/>
        </w:rPr>
        <w:t>5/2(2)/2021-E/P</w:t>
      </w:r>
      <w:r>
        <w:rPr>
          <w:b/>
          <w:color w:val="800080"/>
          <w:spacing w:val="10"/>
          <w:sz w:val="24"/>
        </w:rPr>
        <w:t xml:space="preserve"> </w:t>
      </w:r>
      <w:r>
        <w:rPr>
          <w:b/>
          <w:color w:val="800080"/>
          <w:sz w:val="24"/>
        </w:rPr>
        <w:t>&amp;</w:t>
      </w:r>
      <w:r>
        <w:rPr>
          <w:b/>
          <w:color w:val="800080"/>
          <w:spacing w:val="10"/>
          <w:sz w:val="24"/>
        </w:rPr>
        <w:t xml:space="preserve"> </w:t>
      </w:r>
      <w:r>
        <w:rPr>
          <w:b/>
          <w:color w:val="800080"/>
          <w:sz w:val="24"/>
        </w:rPr>
        <w:t>G/Policy</w:t>
      </w:r>
      <w:r>
        <w:rPr>
          <w:b/>
          <w:color w:val="800080"/>
          <w:spacing w:val="10"/>
          <w:sz w:val="24"/>
        </w:rPr>
        <w:t xml:space="preserve"> </w:t>
      </w:r>
      <w:r>
        <w:rPr>
          <w:b/>
          <w:color w:val="800080"/>
          <w:sz w:val="24"/>
        </w:rPr>
        <w:t>(E-19025)</w:t>
      </w:r>
      <w:r>
        <w:rPr>
          <w:b/>
          <w:color w:val="800080"/>
          <w:spacing w:val="10"/>
          <w:sz w:val="24"/>
        </w:rPr>
        <w:t xml:space="preserve"> </w:t>
      </w:r>
      <w:r>
        <w:rPr>
          <w:b/>
          <w:color w:val="800080"/>
          <w:sz w:val="24"/>
        </w:rPr>
        <w:t>date</w:t>
      </w:r>
      <w:r>
        <w:rPr>
          <w:b/>
          <w:color w:val="800080"/>
          <w:spacing w:val="10"/>
          <w:sz w:val="24"/>
        </w:rPr>
        <w:t xml:space="preserve"> </w:t>
      </w:r>
      <w:r>
        <w:rPr>
          <w:b/>
          <w:color w:val="800080"/>
          <w:sz w:val="24"/>
        </w:rPr>
        <w:t>02/07/2021</w:t>
      </w:r>
    </w:p>
    <w:p w:rsidR="008B198D" w:rsidRDefault="0070278B">
      <w:pPr>
        <w:pStyle w:val="BodyText"/>
        <w:spacing w:before="9"/>
        <w:ind w:left="160"/>
        <w:jc w:val="both"/>
      </w:pPr>
      <w:r>
        <w:t>issued by Government of India, Ministry of MSME.</w:t>
      </w:r>
    </w:p>
    <w:p w:rsidR="008B198D" w:rsidRDefault="008B198D">
      <w:pPr>
        <w:pStyle w:val="BodyText"/>
        <w:spacing w:before="8"/>
        <w:rPr>
          <w:sz w:val="21"/>
        </w:rPr>
      </w:pPr>
    </w:p>
    <w:p w:rsidR="008B198D" w:rsidRDefault="0070278B">
      <w:pPr>
        <w:pStyle w:val="Heading1"/>
        <w:spacing w:line="247" w:lineRule="auto"/>
        <w:ind w:right="678"/>
        <w:jc w:val="both"/>
      </w:pPr>
      <w:r>
        <w:t xml:space="preserve">“Retail and wholesale trades as MSMEs and they are allowed to be registered on </w:t>
      </w:r>
      <w:proofErr w:type="spellStart"/>
      <w:r>
        <w:t>Udyam</w:t>
      </w:r>
      <w:proofErr w:type="spellEnd"/>
      <w:r>
        <w:t xml:space="preserve"> Registration</w:t>
      </w:r>
      <w:r>
        <w:rPr>
          <w:spacing w:val="1"/>
        </w:rPr>
        <w:t xml:space="preserve"> </w:t>
      </w:r>
      <w:r>
        <w:t>Portal. However, benefits to Retail and Wholesale trade MSMEs are to be restricted to Priority Sector</w:t>
      </w:r>
      <w:r>
        <w:rPr>
          <w:spacing w:val="1"/>
        </w:rPr>
        <w:t xml:space="preserve"> </w:t>
      </w:r>
      <w:r>
        <w:t>Lending only.”</w:t>
      </w:r>
    </w:p>
    <w:p w:rsidR="008B198D" w:rsidRDefault="008B198D">
      <w:pPr>
        <w:pStyle w:val="BodyText"/>
        <w:spacing w:before="1"/>
        <w:rPr>
          <w:b/>
          <w:sz w:val="21"/>
        </w:rPr>
      </w:pPr>
    </w:p>
    <w:p w:rsidR="008B198D" w:rsidRDefault="0070278B">
      <w:pPr>
        <w:spacing w:line="247" w:lineRule="auto"/>
        <w:ind w:left="760" w:right="669"/>
        <w:rPr>
          <w:b/>
          <w:i/>
          <w:sz w:val="24"/>
        </w:rPr>
      </w:pPr>
      <w:r>
        <w:rPr>
          <w:b/>
          <w:i/>
          <w:sz w:val="24"/>
        </w:rPr>
        <w:t>“For</w:t>
      </w:r>
      <w:r>
        <w:rPr>
          <w:b/>
          <w:i/>
          <w:spacing w:val="28"/>
          <w:sz w:val="24"/>
        </w:rPr>
        <w:t xml:space="preserve"> </w:t>
      </w:r>
      <w:r>
        <w:rPr>
          <w:b/>
          <w:i/>
          <w:sz w:val="24"/>
        </w:rPr>
        <w:t>the</w:t>
      </w:r>
      <w:r>
        <w:rPr>
          <w:b/>
          <w:i/>
          <w:spacing w:val="29"/>
          <w:sz w:val="24"/>
        </w:rPr>
        <w:t xml:space="preserve"> </w:t>
      </w:r>
      <w:r>
        <w:rPr>
          <w:b/>
          <w:i/>
          <w:sz w:val="24"/>
        </w:rPr>
        <w:t>application</w:t>
      </w:r>
      <w:r>
        <w:rPr>
          <w:b/>
          <w:i/>
          <w:spacing w:val="29"/>
          <w:sz w:val="24"/>
        </w:rPr>
        <w:t xml:space="preserve"> </w:t>
      </w:r>
      <w:r>
        <w:rPr>
          <w:b/>
          <w:i/>
          <w:sz w:val="24"/>
        </w:rPr>
        <w:t>of</w:t>
      </w:r>
      <w:r>
        <w:rPr>
          <w:b/>
          <w:i/>
          <w:spacing w:val="29"/>
          <w:sz w:val="24"/>
        </w:rPr>
        <w:t xml:space="preserve"> </w:t>
      </w:r>
      <w:r>
        <w:rPr>
          <w:b/>
          <w:i/>
          <w:sz w:val="24"/>
        </w:rPr>
        <w:t>section</w:t>
      </w:r>
      <w:r>
        <w:rPr>
          <w:b/>
          <w:i/>
          <w:spacing w:val="29"/>
          <w:sz w:val="24"/>
        </w:rPr>
        <w:t xml:space="preserve"> </w:t>
      </w:r>
      <w:r>
        <w:rPr>
          <w:b/>
          <w:i/>
          <w:sz w:val="24"/>
        </w:rPr>
        <w:t>43B(h)</w:t>
      </w:r>
      <w:r>
        <w:rPr>
          <w:b/>
          <w:i/>
          <w:spacing w:val="29"/>
          <w:sz w:val="24"/>
        </w:rPr>
        <w:t xml:space="preserve"> </w:t>
      </w:r>
      <w:r>
        <w:rPr>
          <w:b/>
          <w:i/>
          <w:sz w:val="24"/>
        </w:rPr>
        <w:t>the</w:t>
      </w:r>
      <w:r>
        <w:rPr>
          <w:b/>
          <w:i/>
          <w:spacing w:val="29"/>
          <w:sz w:val="24"/>
        </w:rPr>
        <w:t xml:space="preserve"> </w:t>
      </w:r>
      <w:r>
        <w:rPr>
          <w:b/>
          <w:i/>
          <w:sz w:val="24"/>
        </w:rPr>
        <w:t>supplier</w:t>
      </w:r>
      <w:r>
        <w:rPr>
          <w:b/>
          <w:i/>
          <w:spacing w:val="29"/>
          <w:sz w:val="24"/>
        </w:rPr>
        <w:t xml:space="preserve"> </w:t>
      </w:r>
      <w:r>
        <w:rPr>
          <w:b/>
          <w:i/>
          <w:sz w:val="24"/>
        </w:rPr>
        <w:t>should</w:t>
      </w:r>
      <w:r>
        <w:rPr>
          <w:b/>
          <w:i/>
          <w:spacing w:val="29"/>
          <w:sz w:val="24"/>
        </w:rPr>
        <w:t xml:space="preserve"> </w:t>
      </w:r>
      <w:proofErr w:type="gramStart"/>
      <w:r>
        <w:rPr>
          <w:b/>
          <w:i/>
          <w:sz w:val="24"/>
        </w:rPr>
        <w:t>registered</w:t>
      </w:r>
      <w:proofErr w:type="gramEnd"/>
      <w:r>
        <w:rPr>
          <w:b/>
          <w:i/>
          <w:spacing w:val="29"/>
          <w:sz w:val="24"/>
        </w:rPr>
        <w:t xml:space="preserve"> </w:t>
      </w:r>
      <w:r>
        <w:rPr>
          <w:b/>
          <w:i/>
          <w:sz w:val="24"/>
        </w:rPr>
        <w:t>under</w:t>
      </w:r>
      <w:r>
        <w:rPr>
          <w:b/>
          <w:i/>
          <w:spacing w:val="29"/>
          <w:sz w:val="24"/>
        </w:rPr>
        <w:t xml:space="preserve"> </w:t>
      </w:r>
      <w:r>
        <w:rPr>
          <w:b/>
          <w:i/>
          <w:sz w:val="24"/>
        </w:rPr>
        <w:t>MSMED</w:t>
      </w:r>
      <w:r>
        <w:rPr>
          <w:b/>
          <w:i/>
          <w:spacing w:val="29"/>
          <w:sz w:val="24"/>
        </w:rPr>
        <w:t xml:space="preserve"> </w:t>
      </w:r>
      <w:r>
        <w:rPr>
          <w:b/>
          <w:i/>
          <w:sz w:val="24"/>
        </w:rPr>
        <w:t>Act,</w:t>
      </w:r>
      <w:r>
        <w:rPr>
          <w:b/>
          <w:i/>
          <w:spacing w:val="29"/>
          <w:sz w:val="24"/>
        </w:rPr>
        <w:t xml:space="preserve"> </w:t>
      </w:r>
      <w:r>
        <w:rPr>
          <w:b/>
          <w:i/>
          <w:sz w:val="24"/>
        </w:rPr>
        <w:t>2006</w:t>
      </w:r>
      <w:r>
        <w:rPr>
          <w:b/>
          <w:i/>
          <w:spacing w:val="29"/>
          <w:sz w:val="24"/>
        </w:rPr>
        <w:t xml:space="preserve"> </w:t>
      </w:r>
      <w:r>
        <w:rPr>
          <w:b/>
          <w:i/>
          <w:sz w:val="24"/>
        </w:rPr>
        <w:t>as</w:t>
      </w:r>
      <w:r>
        <w:rPr>
          <w:b/>
          <w:i/>
          <w:spacing w:val="29"/>
          <w:sz w:val="24"/>
        </w:rPr>
        <w:t xml:space="preserve"> </w:t>
      </w:r>
      <w:r>
        <w:rPr>
          <w:b/>
          <w:i/>
          <w:sz w:val="24"/>
        </w:rPr>
        <w:t>a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Micro and Small Enterprises as a Manufacturer and/or Service Provider.”</w:t>
      </w:r>
    </w:p>
    <w:p w:rsidR="008B198D" w:rsidRDefault="008B198D">
      <w:pPr>
        <w:pStyle w:val="BodyText"/>
        <w:rPr>
          <w:b/>
          <w:i/>
          <w:sz w:val="21"/>
        </w:rPr>
      </w:pPr>
    </w:p>
    <w:p w:rsidR="008B198D" w:rsidRDefault="0070278B">
      <w:pPr>
        <w:pStyle w:val="Heading1"/>
        <w:numPr>
          <w:ilvl w:val="0"/>
          <w:numId w:val="1"/>
        </w:numPr>
        <w:tabs>
          <w:tab w:val="left" w:pos="454"/>
        </w:tabs>
      </w:pPr>
      <w:r>
        <w:t>YEAR -END OUTSTANDIGN CREDITORS: –</w:t>
      </w:r>
    </w:p>
    <w:p w:rsidR="008B198D" w:rsidRDefault="008B198D">
      <w:pPr>
        <w:pStyle w:val="BodyText"/>
        <w:spacing w:before="8"/>
        <w:rPr>
          <w:b/>
          <w:sz w:val="21"/>
        </w:rPr>
      </w:pPr>
    </w:p>
    <w:p w:rsidR="008B198D" w:rsidRDefault="0070278B">
      <w:pPr>
        <w:pStyle w:val="BodyText"/>
        <w:spacing w:line="247" w:lineRule="auto"/>
        <w:ind w:left="160" w:right="679"/>
        <w:jc w:val="both"/>
      </w:pPr>
      <w:r>
        <w:t>If creditors are outstanding as on March 31 for a period exceeding 45 days or 15 days, as the case may be, the</w:t>
      </w:r>
      <w:r>
        <w:rPr>
          <w:spacing w:val="1"/>
        </w:rPr>
        <w:t xml:space="preserve"> </w:t>
      </w:r>
      <w:r>
        <w:t>that expenses will be disallowed for the relevant year, and it will be allowed in the year in which the said</w:t>
      </w:r>
      <w:r>
        <w:rPr>
          <w:spacing w:val="1"/>
        </w:rPr>
        <w:t xml:space="preserve"> </w:t>
      </w:r>
      <w:r>
        <w:t>payment is made.</w:t>
      </w:r>
    </w:p>
    <w:p w:rsidR="008B198D" w:rsidRDefault="008B198D">
      <w:pPr>
        <w:pStyle w:val="BodyText"/>
        <w:spacing w:before="1"/>
        <w:rPr>
          <w:sz w:val="21"/>
        </w:rPr>
      </w:pPr>
    </w:p>
    <w:p w:rsidR="008B198D" w:rsidRDefault="0070278B">
      <w:pPr>
        <w:pStyle w:val="BodyText"/>
        <w:spacing w:line="247" w:lineRule="auto"/>
        <w:ind w:left="160" w:right="679"/>
        <w:jc w:val="both"/>
      </w:pPr>
      <w:r>
        <w:t xml:space="preserve">Generally, as per </w:t>
      </w:r>
      <w:r>
        <w:t>section 43B disallowances, expenses are allowed as deduction if it is paid on or before due date</w:t>
      </w:r>
      <w:r>
        <w:rPr>
          <w:spacing w:val="-57"/>
        </w:rPr>
        <w:t xml:space="preserve"> </w:t>
      </w:r>
      <w:r>
        <w:t>of filing return of income as prescribed under section 139. It is not the case with section 43B(h) disallowances,</w:t>
      </w:r>
      <w:r>
        <w:rPr>
          <w:spacing w:val="1"/>
        </w:rPr>
        <w:t xml:space="preserve"> </w:t>
      </w:r>
      <w:r>
        <w:t>where in it will be allowed as expenses in th</w:t>
      </w:r>
      <w:r>
        <w:t>e year in which the same is paid.</w:t>
      </w:r>
    </w:p>
    <w:p w:rsidR="008B198D" w:rsidRDefault="008B198D">
      <w:pPr>
        <w:pStyle w:val="BodyText"/>
        <w:rPr>
          <w:sz w:val="20"/>
        </w:rPr>
      </w:pPr>
    </w:p>
    <w:p w:rsidR="008B198D" w:rsidRDefault="008B198D">
      <w:pPr>
        <w:pStyle w:val="BodyText"/>
        <w:rPr>
          <w:sz w:val="20"/>
        </w:rPr>
      </w:pPr>
    </w:p>
    <w:p w:rsidR="008B198D" w:rsidRDefault="008B198D">
      <w:pPr>
        <w:pStyle w:val="BodyText"/>
        <w:spacing w:before="10"/>
        <w:rPr>
          <w:sz w:val="22"/>
        </w:rPr>
      </w:pPr>
    </w:p>
    <w:p w:rsidR="008B198D" w:rsidRDefault="0070278B">
      <w:pPr>
        <w:pStyle w:val="BodyText"/>
        <w:spacing w:before="90" w:line="247" w:lineRule="auto"/>
        <w:ind w:left="11045" w:right="-39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1.5pt;margin-top:-23.5pt;width:497.9pt;height:137.1pt;z-index:15728640;mso-position-horizontal-relative:page" filled="f" stroked="f">
            <v:textbox style="mso-next-textbox:#_x0000_s1026" inset="0,0,0,0">
              <w:txbxContent>
                <w:tbl>
                  <w:tblPr>
                    <w:tblW w:w="0" w:type="auto"/>
                    <w:tblInd w:w="7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1599"/>
                    <w:gridCol w:w="2573"/>
                    <w:gridCol w:w="3090"/>
                    <w:gridCol w:w="2696"/>
                  </w:tblGrid>
                  <w:tr w:rsidR="008B198D">
                    <w:trPr>
                      <w:trHeight w:val="489"/>
                    </w:trPr>
                    <w:tc>
                      <w:tcPr>
                        <w:tcW w:w="1599" w:type="dxa"/>
                      </w:tcPr>
                      <w:p w:rsidR="008B198D" w:rsidRDefault="0070278B">
                        <w:pPr>
                          <w:pStyle w:val="TableParagraph"/>
                          <w:spacing w:before="0" w:line="266" w:lineRule="exact"/>
                          <w:ind w:left="50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EXAMPAL: –</w:t>
                        </w:r>
                      </w:p>
                    </w:tc>
                    <w:tc>
                      <w:tcPr>
                        <w:tcW w:w="8359" w:type="dxa"/>
                        <w:gridSpan w:val="3"/>
                      </w:tcPr>
                      <w:p w:rsidR="008B198D" w:rsidRDefault="008B198D">
                        <w:pPr>
                          <w:pStyle w:val="TableParagraph"/>
                          <w:spacing w:before="0"/>
                          <w:ind w:left="0"/>
                          <w:rPr>
                            <w:sz w:val="24"/>
                          </w:rPr>
                        </w:pPr>
                      </w:p>
                    </w:tc>
                  </w:tr>
                  <w:tr w:rsidR="008B198D">
                    <w:trPr>
                      <w:trHeight w:val="600"/>
                    </w:trPr>
                    <w:tc>
                      <w:tcPr>
                        <w:tcW w:w="1599" w:type="dxa"/>
                      </w:tcPr>
                      <w:p w:rsidR="008B198D" w:rsidRDefault="0070278B">
                        <w:pPr>
                          <w:pStyle w:val="TableParagraph"/>
                          <w:spacing w:before="213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Sr. No.</w:t>
                        </w:r>
                      </w:p>
                    </w:tc>
                    <w:tc>
                      <w:tcPr>
                        <w:tcW w:w="2573" w:type="dxa"/>
                      </w:tcPr>
                      <w:p w:rsidR="008B198D" w:rsidRDefault="0070278B">
                        <w:pPr>
                          <w:pStyle w:val="TableParagraph"/>
                          <w:spacing w:before="21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Bill No.</w:t>
                        </w:r>
                      </w:p>
                    </w:tc>
                    <w:tc>
                      <w:tcPr>
                        <w:tcW w:w="3090" w:type="dxa"/>
                      </w:tcPr>
                      <w:p w:rsidR="008B198D" w:rsidRDefault="0070278B">
                        <w:pPr>
                          <w:pStyle w:val="TableParagraph"/>
                          <w:spacing w:before="213"/>
                          <w:ind w:left="14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Due Date</w:t>
                        </w:r>
                      </w:p>
                    </w:tc>
                    <w:tc>
                      <w:tcPr>
                        <w:tcW w:w="2696" w:type="dxa"/>
                      </w:tcPr>
                      <w:p w:rsidR="008B198D" w:rsidRDefault="0070278B">
                        <w:pPr>
                          <w:pStyle w:val="TableParagraph"/>
                          <w:spacing w:before="213"/>
                          <w:ind w:left="59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Actual Payment Date</w:t>
                        </w:r>
                      </w:p>
                    </w:tc>
                  </w:tr>
                  <w:tr w:rsidR="008B198D">
                    <w:trPr>
                      <w:trHeight w:val="416"/>
                    </w:trPr>
                    <w:tc>
                      <w:tcPr>
                        <w:tcW w:w="1599" w:type="dxa"/>
                      </w:tcPr>
                      <w:p w:rsidR="008B198D" w:rsidRDefault="0070278B">
                        <w:pPr>
                          <w:pStyle w:val="TableParagraph"/>
                          <w:spacing w:before="100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1.</w:t>
                        </w:r>
                      </w:p>
                    </w:tc>
                    <w:tc>
                      <w:tcPr>
                        <w:tcW w:w="2573" w:type="dxa"/>
                      </w:tcPr>
                      <w:p w:rsidR="008B198D" w:rsidRDefault="0070278B">
                        <w:pPr>
                          <w:pStyle w:val="TableParagraph"/>
                          <w:spacing w:before="10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01/02/2024</w:t>
                        </w:r>
                      </w:p>
                    </w:tc>
                    <w:tc>
                      <w:tcPr>
                        <w:tcW w:w="3090" w:type="dxa"/>
                      </w:tcPr>
                      <w:p w:rsidR="008B198D" w:rsidRDefault="0070278B">
                        <w:pPr>
                          <w:pStyle w:val="TableParagraph"/>
                          <w:spacing w:before="100"/>
                          <w:ind w:left="14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17/03/2024</w:t>
                        </w:r>
                      </w:p>
                    </w:tc>
                    <w:tc>
                      <w:tcPr>
                        <w:tcW w:w="2696" w:type="dxa"/>
                      </w:tcPr>
                      <w:p w:rsidR="008B198D" w:rsidRDefault="0070278B">
                        <w:pPr>
                          <w:pStyle w:val="TableParagraph"/>
                          <w:spacing w:before="100"/>
                          <w:ind w:left="59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28/03/2024</w:t>
                        </w:r>
                      </w:p>
                    </w:tc>
                  </w:tr>
                  <w:tr w:rsidR="008B198D">
                    <w:trPr>
                      <w:trHeight w:val="345"/>
                    </w:trPr>
                    <w:tc>
                      <w:tcPr>
                        <w:tcW w:w="1599" w:type="dxa"/>
                      </w:tcPr>
                      <w:p w:rsidR="008B198D" w:rsidRDefault="0070278B"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2.</w:t>
                        </w:r>
                      </w:p>
                    </w:tc>
                    <w:tc>
                      <w:tcPr>
                        <w:tcW w:w="2573" w:type="dxa"/>
                      </w:tcPr>
                      <w:p w:rsidR="008B198D" w:rsidRDefault="0070278B"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01/02/2024</w:t>
                        </w:r>
                      </w:p>
                    </w:tc>
                    <w:tc>
                      <w:tcPr>
                        <w:tcW w:w="3090" w:type="dxa"/>
                      </w:tcPr>
                      <w:p w:rsidR="008B198D" w:rsidRDefault="0070278B">
                        <w:pPr>
                          <w:pStyle w:val="TableParagraph"/>
                          <w:ind w:left="14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17/03/2024</w:t>
                        </w:r>
                      </w:p>
                    </w:tc>
                    <w:tc>
                      <w:tcPr>
                        <w:tcW w:w="2696" w:type="dxa"/>
                      </w:tcPr>
                      <w:p w:rsidR="008B198D" w:rsidRDefault="0070278B">
                        <w:pPr>
                          <w:pStyle w:val="TableParagraph"/>
                          <w:ind w:left="59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15/05/2024</w:t>
                        </w:r>
                      </w:p>
                    </w:tc>
                  </w:tr>
                  <w:tr w:rsidR="008B198D">
                    <w:trPr>
                      <w:trHeight w:val="465"/>
                    </w:trPr>
                    <w:tc>
                      <w:tcPr>
                        <w:tcW w:w="1599" w:type="dxa"/>
                      </w:tcPr>
                      <w:p w:rsidR="008B198D" w:rsidRDefault="0070278B">
                        <w:pPr>
                          <w:pStyle w:val="TableParagraph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3.</w:t>
                        </w:r>
                      </w:p>
                    </w:tc>
                    <w:tc>
                      <w:tcPr>
                        <w:tcW w:w="2573" w:type="dxa"/>
                      </w:tcPr>
                      <w:p w:rsidR="008B198D" w:rsidRDefault="0070278B"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20/02/2024</w:t>
                        </w:r>
                      </w:p>
                    </w:tc>
                    <w:tc>
                      <w:tcPr>
                        <w:tcW w:w="3090" w:type="dxa"/>
                      </w:tcPr>
                      <w:p w:rsidR="008B198D" w:rsidRDefault="0070278B">
                        <w:pPr>
                          <w:pStyle w:val="TableParagraph"/>
                          <w:ind w:left="14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05/04/2024</w:t>
                        </w:r>
                      </w:p>
                    </w:tc>
                    <w:tc>
                      <w:tcPr>
                        <w:tcW w:w="2696" w:type="dxa"/>
                      </w:tcPr>
                      <w:p w:rsidR="008B198D" w:rsidRDefault="0070278B">
                        <w:pPr>
                          <w:pStyle w:val="TableParagraph"/>
                          <w:ind w:left="59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02/04/2024</w:t>
                        </w:r>
                      </w:p>
                    </w:tc>
                  </w:tr>
                  <w:tr w:rsidR="008B198D">
                    <w:trPr>
                      <w:trHeight w:val="425"/>
                    </w:trPr>
                    <w:tc>
                      <w:tcPr>
                        <w:tcW w:w="1599" w:type="dxa"/>
                      </w:tcPr>
                      <w:p w:rsidR="008B198D" w:rsidRDefault="0070278B">
                        <w:pPr>
                          <w:pStyle w:val="TableParagraph"/>
                          <w:spacing w:before="149" w:line="256" w:lineRule="exact"/>
                          <w:ind w:left="9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4.</w:t>
                        </w:r>
                      </w:p>
                    </w:tc>
                    <w:tc>
                      <w:tcPr>
                        <w:tcW w:w="2573" w:type="dxa"/>
                      </w:tcPr>
                      <w:p w:rsidR="008B198D" w:rsidRDefault="0070278B">
                        <w:pPr>
                          <w:pStyle w:val="TableParagraph"/>
                          <w:spacing w:before="149" w:line="25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20/02/2024</w:t>
                        </w:r>
                      </w:p>
                    </w:tc>
                    <w:tc>
                      <w:tcPr>
                        <w:tcW w:w="3090" w:type="dxa"/>
                      </w:tcPr>
                      <w:p w:rsidR="008B198D" w:rsidRDefault="0070278B">
                        <w:pPr>
                          <w:pStyle w:val="TableParagraph"/>
                          <w:spacing w:before="149" w:line="256" w:lineRule="exact"/>
                          <w:ind w:left="14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05/04/2024</w:t>
                        </w:r>
                      </w:p>
                    </w:tc>
                    <w:tc>
                      <w:tcPr>
                        <w:tcW w:w="2696" w:type="dxa"/>
                      </w:tcPr>
                      <w:p w:rsidR="008B198D" w:rsidRDefault="0070278B">
                        <w:pPr>
                          <w:pStyle w:val="TableParagraph"/>
                          <w:spacing w:before="149" w:line="256" w:lineRule="exact"/>
                          <w:ind w:left="59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10/04/2024</w:t>
                        </w:r>
                      </w:p>
                    </w:tc>
                  </w:tr>
                </w:tbl>
                <w:p w:rsidR="008B198D" w:rsidRDefault="008B198D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>
        <w:t>Deduct</w:t>
      </w:r>
      <w:r>
        <w:rPr>
          <w:spacing w:val="-57"/>
        </w:rPr>
        <w:t xml:space="preserve"> </w:t>
      </w:r>
      <w:r>
        <w:t>FY</w:t>
      </w:r>
    </w:p>
    <w:p w:rsidR="008B198D" w:rsidRDefault="0070278B">
      <w:pPr>
        <w:pStyle w:val="BodyText"/>
        <w:spacing w:before="62"/>
        <w:ind w:right="-15"/>
        <w:jc w:val="right"/>
      </w:pPr>
      <w:r>
        <w:t>2023-2</w:t>
      </w:r>
    </w:p>
    <w:p w:rsidR="008B198D" w:rsidRDefault="0070278B">
      <w:pPr>
        <w:pStyle w:val="BodyText"/>
        <w:spacing w:before="69"/>
        <w:ind w:right="-15"/>
        <w:jc w:val="right"/>
      </w:pPr>
      <w:r>
        <w:t>2024-2</w:t>
      </w:r>
    </w:p>
    <w:p w:rsidR="008B198D" w:rsidRDefault="0070278B">
      <w:pPr>
        <w:pStyle w:val="BodyText"/>
        <w:spacing w:before="69"/>
        <w:ind w:right="-15"/>
        <w:jc w:val="right"/>
      </w:pPr>
      <w:r>
        <w:t>2023-2</w:t>
      </w:r>
    </w:p>
    <w:p w:rsidR="008B198D" w:rsidRDefault="008B198D">
      <w:pPr>
        <w:pStyle w:val="BodyText"/>
        <w:spacing w:before="1"/>
        <w:rPr>
          <w:sz w:val="19"/>
        </w:rPr>
      </w:pPr>
    </w:p>
    <w:p w:rsidR="008B198D" w:rsidRDefault="0070278B">
      <w:pPr>
        <w:pStyle w:val="BodyText"/>
        <w:spacing w:before="90"/>
        <w:ind w:right="-15"/>
        <w:jc w:val="right"/>
      </w:pPr>
      <w:r>
        <w:t>2024-2</w:t>
      </w:r>
    </w:p>
    <w:p w:rsidR="008B198D" w:rsidRDefault="008B198D">
      <w:pPr>
        <w:pStyle w:val="BodyText"/>
        <w:rPr>
          <w:sz w:val="20"/>
        </w:rPr>
      </w:pPr>
    </w:p>
    <w:p w:rsidR="008B198D" w:rsidRDefault="008B198D">
      <w:pPr>
        <w:pStyle w:val="BodyText"/>
        <w:rPr>
          <w:sz w:val="20"/>
        </w:rPr>
      </w:pPr>
    </w:p>
    <w:p w:rsidR="008B198D" w:rsidRDefault="008B198D">
      <w:pPr>
        <w:pStyle w:val="BodyText"/>
        <w:rPr>
          <w:sz w:val="20"/>
        </w:rPr>
      </w:pPr>
    </w:p>
    <w:p w:rsidR="008B198D" w:rsidRDefault="008B198D">
      <w:pPr>
        <w:pStyle w:val="BodyText"/>
        <w:rPr>
          <w:sz w:val="20"/>
        </w:rPr>
      </w:pPr>
    </w:p>
    <w:p w:rsidR="008B198D" w:rsidRDefault="008B198D">
      <w:pPr>
        <w:pStyle w:val="BodyText"/>
        <w:spacing w:before="4"/>
        <w:rPr>
          <w:sz w:val="26"/>
        </w:rPr>
      </w:pPr>
    </w:p>
    <w:p w:rsidR="008B198D" w:rsidRDefault="0070278B">
      <w:pPr>
        <w:pStyle w:val="Heading1"/>
        <w:numPr>
          <w:ilvl w:val="0"/>
          <w:numId w:val="1"/>
        </w:numPr>
        <w:tabs>
          <w:tab w:val="left" w:pos="441"/>
        </w:tabs>
        <w:spacing w:before="90"/>
        <w:ind w:left="440" w:hanging="281"/>
      </w:pPr>
      <w:r>
        <w:t>APPLICABLE ON OUTSTAIDING PRIOR 01.04.2023: –</w:t>
      </w:r>
    </w:p>
    <w:p w:rsidR="008B198D" w:rsidRDefault="008B198D">
      <w:pPr>
        <w:pStyle w:val="BodyText"/>
        <w:spacing w:before="8"/>
        <w:rPr>
          <w:b/>
          <w:sz w:val="21"/>
        </w:rPr>
      </w:pPr>
    </w:p>
    <w:p w:rsidR="008B198D" w:rsidRDefault="0070278B">
      <w:pPr>
        <w:spacing w:line="247" w:lineRule="auto"/>
        <w:ind w:left="160" w:right="678"/>
        <w:jc w:val="both"/>
        <w:rPr>
          <w:b/>
          <w:sz w:val="24"/>
        </w:rPr>
      </w:pPr>
      <w:r>
        <w:rPr>
          <w:sz w:val="24"/>
        </w:rPr>
        <w:t>As the section is applicable for the computation of income from the AY 2024-25, the payment to check shall be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21"/>
          <w:sz w:val="24"/>
        </w:rPr>
        <w:t xml:space="preserve"> </w:t>
      </w:r>
      <w:r>
        <w:rPr>
          <w:sz w:val="24"/>
        </w:rPr>
        <w:t>the</w:t>
      </w:r>
      <w:r>
        <w:rPr>
          <w:spacing w:val="21"/>
          <w:sz w:val="24"/>
        </w:rPr>
        <w:t xml:space="preserve"> </w:t>
      </w:r>
      <w:r>
        <w:rPr>
          <w:sz w:val="24"/>
        </w:rPr>
        <w:t>previous</w:t>
      </w:r>
      <w:r>
        <w:rPr>
          <w:spacing w:val="21"/>
          <w:sz w:val="24"/>
        </w:rPr>
        <w:t xml:space="preserve"> </w:t>
      </w:r>
      <w:r>
        <w:rPr>
          <w:sz w:val="24"/>
        </w:rPr>
        <w:t>year</w:t>
      </w:r>
      <w:r>
        <w:rPr>
          <w:spacing w:val="21"/>
          <w:sz w:val="24"/>
        </w:rPr>
        <w:t xml:space="preserve"> </w:t>
      </w:r>
      <w:r>
        <w:rPr>
          <w:sz w:val="24"/>
        </w:rPr>
        <w:t>ending</w:t>
      </w:r>
      <w:r>
        <w:rPr>
          <w:spacing w:val="21"/>
          <w:sz w:val="24"/>
        </w:rPr>
        <w:t xml:space="preserve"> </w:t>
      </w:r>
      <w:r>
        <w:rPr>
          <w:sz w:val="24"/>
        </w:rPr>
        <w:t>31/03/2024.</w:t>
      </w:r>
      <w:r>
        <w:rPr>
          <w:spacing w:val="21"/>
          <w:sz w:val="24"/>
        </w:rPr>
        <w:t xml:space="preserve"> </w:t>
      </w:r>
      <w:r>
        <w:rPr>
          <w:sz w:val="24"/>
        </w:rPr>
        <w:t>For</w:t>
      </w:r>
      <w:r>
        <w:rPr>
          <w:spacing w:val="21"/>
          <w:sz w:val="24"/>
        </w:rPr>
        <w:t xml:space="preserve"> </w:t>
      </w:r>
      <w:r>
        <w:rPr>
          <w:sz w:val="24"/>
        </w:rPr>
        <w:t>most</w:t>
      </w:r>
      <w:r>
        <w:rPr>
          <w:spacing w:val="21"/>
          <w:sz w:val="24"/>
        </w:rPr>
        <w:t xml:space="preserve"> </w:t>
      </w:r>
      <w:r>
        <w:rPr>
          <w:sz w:val="24"/>
        </w:rPr>
        <w:t>of</w:t>
      </w:r>
      <w:r>
        <w:rPr>
          <w:spacing w:val="21"/>
          <w:sz w:val="24"/>
        </w:rPr>
        <w:t xml:space="preserve"> </w:t>
      </w:r>
      <w:r>
        <w:rPr>
          <w:sz w:val="24"/>
        </w:rPr>
        <w:t>the</w:t>
      </w:r>
      <w:r>
        <w:rPr>
          <w:spacing w:val="21"/>
          <w:sz w:val="24"/>
        </w:rPr>
        <w:t xml:space="preserve"> </w:t>
      </w:r>
      <w:r>
        <w:rPr>
          <w:sz w:val="24"/>
        </w:rPr>
        <w:t>business</w:t>
      </w:r>
      <w:r>
        <w:rPr>
          <w:spacing w:val="21"/>
          <w:sz w:val="24"/>
        </w:rPr>
        <w:t xml:space="preserve"> </w:t>
      </w:r>
      <w:r>
        <w:rPr>
          <w:sz w:val="24"/>
        </w:rPr>
        <w:t>following</w:t>
      </w:r>
      <w:r>
        <w:rPr>
          <w:spacing w:val="21"/>
          <w:sz w:val="24"/>
        </w:rPr>
        <w:t xml:space="preserve"> </w:t>
      </w:r>
      <w:r>
        <w:rPr>
          <w:sz w:val="24"/>
        </w:rPr>
        <w:t>mercantile</w:t>
      </w:r>
      <w:r>
        <w:rPr>
          <w:spacing w:val="21"/>
          <w:sz w:val="24"/>
        </w:rPr>
        <w:t xml:space="preserve"> </w:t>
      </w:r>
      <w:r>
        <w:rPr>
          <w:sz w:val="24"/>
        </w:rPr>
        <w:t>system</w:t>
      </w:r>
      <w:r>
        <w:rPr>
          <w:spacing w:val="21"/>
          <w:sz w:val="24"/>
        </w:rPr>
        <w:t xml:space="preserve"> </w:t>
      </w:r>
      <w:r>
        <w:rPr>
          <w:sz w:val="24"/>
        </w:rPr>
        <w:t>of</w:t>
      </w:r>
      <w:r>
        <w:rPr>
          <w:spacing w:val="21"/>
          <w:sz w:val="24"/>
        </w:rPr>
        <w:t xml:space="preserve"> </w:t>
      </w:r>
      <w:r>
        <w:rPr>
          <w:sz w:val="24"/>
        </w:rPr>
        <w:t>accounting,</w:t>
      </w:r>
      <w:r>
        <w:rPr>
          <w:spacing w:val="-58"/>
          <w:sz w:val="24"/>
        </w:rPr>
        <w:t xml:space="preserve"> </w:t>
      </w:r>
      <w:r>
        <w:rPr>
          <w:sz w:val="24"/>
        </w:rPr>
        <w:t>the</w:t>
      </w:r>
      <w:r>
        <w:rPr>
          <w:spacing w:val="12"/>
          <w:sz w:val="24"/>
        </w:rPr>
        <w:t xml:space="preserve"> </w:t>
      </w:r>
      <w:r>
        <w:rPr>
          <w:sz w:val="24"/>
        </w:rPr>
        <w:t>amount</w:t>
      </w:r>
      <w:r>
        <w:rPr>
          <w:spacing w:val="12"/>
          <w:sz w:val="24"/>
        </w:rPr>
        <w:t xml:space="preserve"> </w:t>
      </w:r>
      <w:r>
        <w:rPr>
          <w:sz w:val="24"/>
        </w:rPr>
        <w:t>debited</w:t>
      </w:r>
      <w:r>
        <w:rPr>
          <w:spacing w:val="12"/>
          <w:sz w:val="24"/>
        </w:rPr>
        <w:t xml:space="preserve"> </w:t>
      </w:r>
      <w:r>
        <w:rPr>
          <w:sz w:val="24"/>
        </w:rPr>
        <w:t>to</w:t>
      </w:r>
      <w:r>
        <w:rPr>
          <w:spacing w:val="12"/>
          <w:sz w:val="24"/>
        </w:rPr>
        <w:t xml:space="preserve"> </w:t>
      </w:r>
      <w:r>
        <w:rPr>
          <w:sz w:val="24"/>
        </w:rPr>
        <w:t>profit,</w:t>
      </w:r>
      <w:r>
        <w:rPr>
          <w:spacing w:val="12"/>
          <w:sz w:val="24"/>
        </w:rPr>
        <w:t xml:space="preserve"> </w:t>
      </w:r>
      <w:r>
        <w:rPr>
          <w:sz w:val="24"/>
        </w:rPr>
        <w:t>and</w:t>
      </w:r>
      <w:r>
        <w:rPr>
          <w:spacing w:val="12"/>
          <w:sz w:val="24"/>
        </w:rPr>
        <w:t xml:space="preserve"> </w:t>
      </w:r>
      <w:r>
        <w:rPr>
          <w:sz w:val="24"/>
        </w:rPr>
        <w:t>loss</w:t>
      </w:r>
      <w:r>
        <w:rPr>
          <w:spacing w:val="12"/>
          <w:sz w:val="24"/>
        </w:rPr>
        <w:t xml:space="preserve"> </w:t>
      </w:r>
      <w:r>
        <w:rPr>
          <w:sz w:val="24"/>
        </w:rPr>
        <w:t>account</w:t>
      </w:r>
      <w:r>
        <w:rPr>
          <w:spacing w:val="12"/>
          <w:sz w:val="24"/>
        </w:rPr>
        <w:t xml:space="preserve"> </w:t>
      </w:r>
      <w:r>
        <w:rPr>
          <w:sz w:val="24"/>
        </w:rPr>
        <w:t>shall</w:t>
      </w:r>
      <w:r>
        <w:rPr>
          <w:spacing w:val="12"/>
          <w:sz w:val="24"/>
        </w:rPr>
        <w:t xml:space="preserve"> </w:t>
      </w:r>
      <w:r>
        <w:rPr>
          <w:sz w:val="24"/>
        </w:rPr>
        <w:t>be</w:t>
      </w:r>
      <w:r>
        <w:rPr>
          <w:spacing w:val="12"/>
          <w:sz w:val="24"/>
        </w:rPr>
        <w:t xml:space="preserve"> </w:t>
      </w:r>
      <w:r>
        <w:rPr>
          <w:sz w:val="24"/>
        </w:rPr>
        <w:t>from</w:t>
      </w:r>
      <w:r>
        <w:rPr>
          <w:spacing w:val="12"/>
          <w:sz w:val="24"/>
        </w:rPr>
        <w:t xml:space="preserve"> </w:t>
      </w:r>
      <w:r>
        <w:rPr>
          <w:sz w:val="24"/>
        </w:rPr>
        <w:t>01/04/2023</w:t>
      </w:r>
      <w:r>
        <w:rPr>
          <w:spacing w:val="12"/>
          <w:sz w:val="24"/>
        </w:rPr>
        <w:t xml:space="preserve"> </w:t>
      </w:r>
      <w:r>
        <w:rPr>
          <w:sz w:val="24"/>
        </w:rPr>
        <w:t>and</w:t>
      </w:r>
      <w:r>
        <w:rPr>
          <w:spacing w:val="12"/>
          <w:sz w:val="24"/>
        </w:rPr>
        <w:t xml:space="preserve"> </w:t>
      </w:r>
      <w:r>
        <w:rPr>
          <w:sz w:val="24"/>
        </w:rPr>
        <w:t>not</w:t>
      </w:r>
      <w:r>
        <w:rPr>
          <w:spacing w:val="12"/>
          <w:sz w:val="24"/>
        </w:rPr>
        <w:t xml:space="preserve"> </w:t>
      </w:r>
      <w:r>
        <w:rPr>
          <w:sz w:val="24"/>
        </w:rPr>
        <w:t>any</w:t>
      </w:r>
      <w:r>
        <w:rPr>
          <w:spacing w:val="12"/>
          <w:sz w:val="24"/>
        </w:rPr>
        <w:t xml:space="preserve"> </w:t>
      </w:r>
      <w:r>
        <w:rPr>
          <w:sz w:val="24"/>
        </w:rPr>
        <w:t>earlier</w:t>
      </w:r>
      <w:r>
        <w:rPr>
          <w:spacing w:val="12"/>
          <w:sz w:val="24"/>
        </w:rPr>
        <w:t xml:space="preserve"> </w:t>
      </w:r>
      <w:r>
        <w:rPr>
          <w:sz w:val="24"/>
        </w:rPr>
        <w:t>year.</w:t>
      </w:r>
      <w:r>
        <w:rPr>
          <w:spacing w:val="14"/>
          <w:sz w:val="24"/>
        </w:rPr>
        <w:t xml:space="preserve"> </w:t>
      </w:r>
      <w:r>
        <w:rPr>
          <w:b/>
          <w:sz w:val="24"/>
        </w:rPr>
        <w:t>So,</w:t>
      </w:r>
      <w:r>
        <w:rPr>
          <w:b/>
          <w:spacing w:val="12"/>
          <w:sz w:val="24"/>
        </w:rPr>
        <w:t xml:space="preserve"> </w:t>
      </w:r>
      <w:r>
        <w:rPr>
          <w:b/>
          <w:sz w:val="24"/>
        </w:rPr>
        <w:t>provision</w:t>
      </w:r>
      <w:r>
        <w:rPr>
          <w:b/>
          <w:spacing w:val="-58"/>
          <w:sz w:val="24"/>
        </w:rPr>
        <w:t xml:space="preserve"> </w:t>
      </w:r>
      <w:r>
        <w:rPr>
          <w:b/>
          <w:sz w:val="24"/>
        </w:rPr>
        <w:t>of section 43B(h) not applicable outstanding balance as on 31/03/2023.</w:t>
      </w:r>
    </w:p>
    <w:p w:rsidR="008B198D" w:rsidRDefault="008B198D">
      <w:pPr>
        <w:pStyle w:val="BodyText"/>
        <w:spacing w:before="2"/>
        <w:rPr>
          <w:b/>
          <w:sz w:val="21"/>
        </w:rPr>
      </w:pPr>
    </w:p>
    <w:p w:rsidR="008B198D" w:rsidRDefault="0070278B">
      <w:pPr>
        <w:pStyle w:val="Heading1"/>
        <w:numPr>
          <w:ilvl w:val="0"/>
          <w:numId w:val="1"/>
        </w:numPr>
        <w:tabs>
          <w:tab w:val="left" w:pos="427"/>
        </w:tabs>
        <w:ind w:left="426" w:hanging="267"/>
      </w:pPr>
      <w:r>
        <w:t>STEP TO BE TAKEN BY THE ASSESSE: –</w:t>
      </w:r>
    </w:p>
    <w:p w:rsidR="008B198D" w:rsidRDefault="008B198D">
      <w:pPr>
        <w:pStyle w:val="BodyText"/>
        <w:spacing w:before="7"/>
        <w:rPr>
          <w:b/>
          <w:sz w:val="21"/>
        </w:rPr>
      </w:pPr>
    </w:p>
    <w:p w:rsidR="008B198D" w:rsidRDefault="0070278B">
      <w:pPr>
        <w:pStyle w:val="ListParagraph"/>
        <w:numPr>
          <w:ilvl w:val="1"/>
          <w:numId w:val="1"/>
        </w:numPr>
        <w:tabs>
          <w:tab w:val="left" w:pos="479"/>
        </w:tabs>
        <w:spacing w:before="1" w:line="247" w:lineRule="auto"/>
        <w:ind w:right="679" w:firstLine="0"/>
        <w:jc w:val="both"/>
        <w:rPr>
          <w:sz w:val="24"/>
        </w:rPr>
      </w:pPr>
      <w:r>
        <w:rPr>
          <w:sz w:val="24"/>
        </w:rPr>
        <w:t>At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year-end</w:t>
      </w:r>
      <w:r>
        <w:rPr>
          <w:spacing w:val="1"/>
          <w:sz w:val="24"/>
        </w:rPr>
        <w:t xml:space="preserve"> </w:t>
      </w:r>
      <w:r>
        <w:rPr>
          <w:sz w:val="24"/>
        </w:rPr>
        <w:t>each</w:t>
      </w:r>
      <w:r>
        <w:rPr>
          <w:spacing w:val="1"/>
          <w:sz w:val="24"/>
        </w:rPr>
        <w:t xml:space="preserve"> </w:t>
      </w:r>
      <w:r>
        <w:rPr>
          <w:sz w:val="24"/>
        </w:rPr>
        <w:t>enterprise</w:t>
      </w:r>
      <w:r>
        <w:rPr>
          <w:spacing w:val="1"/>
          <w:sz w:val="24"/>
        </w:rPr>
        <w:t xml:space="preserve"> </w:t>
      </w:r>
      <w:r>
        <w:rPr>
          <w:sz w:val="24"/>
        </w:rPr>
        <w:t>(irrespective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audit</w:t>
      </w:r>
      <w:r>
        <w:rPr>
          <w:spacing w:val="1"/>
          <w:sz w:val="24"/>
        </w:rPr>
        <w:t xml:space="preserve"> </w:t>
      </w:r>
      <w:r>
        <w:rPr>
          <w:sz w:val="24"/>
        </w:rPr>
        <w:t>applicability)</w:t>
      </w:r>
      <w:r>
        <w:rPr>
          <w:spacing w:val="1"/>
          <w:sz w:val="24"/>
        </w:rPr>
        <w:t xml:space="preserve"> </w:t>
      </w:r>
      <w:r>
        <w:rPr>
          <w:sz w:val="24"/>
        </w:rPr>
        <w:t>should</w:t>
      </w:r>
      <w:r>
        <w:rPr>
          <w:spacing w:val="1"/>
          <w:sz w:val="24"/>
        </w:rPr>
        <w:t xml:space="preserve"> </w:t>
      </w:r>
      <w:r>
        <w:rPr>
          <w:sz w:val="24"/>
        </w:rPr>
        <w:t>assess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status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their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outstanding creditors to </w:t>
      </w:r>
      <w:proofErr w:type="spellStart"/>
      <w:r>
        <w:rPr>
          <w:sz w:val="24"/>
        </w:rPr>
        <w:t>catharised</w:t>
      </w:r>
      <w:proofErr w:type="spellEnd"/>
      <w:r>
        <w:rPr>
          <w:sz w:val="24"/>
        </w:rPr>
        <w:t xml:space="preserve"> as the Micro and small enterprise and as well as Manufacturer, service</w:t>
      </w:r>
      <w:r>
        <w:rPr>
          <w:spacing w:val="1"/>
          <w:sz w:val="24"/>
        </w:rPr>
        <w:t xml:space="preserve"> </w:t>
      </w:r>
      <w:r>
        <w:rPr>
          <w:sz w:val="24"/>
        </w:rPr>
        <w:t>providers</w:t>
      </w:r>
      <w:r>
        <w:rPr>
          <w:sz w:val="24"/>
        </w:rPr>
        <w:t xml:space="preserve"> and Traders/retailers.</w:t>
      </w:r>
    </w:p>
    <w:p w:rsidR="008B198D" w:rsidRDefault="008B198D">
      <w:pPr>
        <w:spacing w:line="247" w:lineRule="auto"/>
        <w:jc w:val="both"/>
        <w:rPr>
          <w:sz w:val="24"/>
        </w:rPr>
        <w:sectPr w:rsidR="008B198D">
          <w:pgSz w:w="12240" w:h="15840"/>
          <w:pgMar w:top="620" w:right="0" w:bottom="280" w:left="520" w:header="720" w:footer="720" w:gutter="0"/>
          <w:cols w:space="720"/>
        </w:sectPr>
      </w:pPr>
    </w:p>
    <w:p w:rsidR="008B198D" w:rsidRDefault="0070278B">
      <w:pPr>
        <w:pStyle w:val="ListParagraph"/>
        <w:numPr>
          <w:ilvl w:val="1"/>
          <w:numId w:val="1"/>
        </w:numPr>
        <w:tabs>
          <w:tab w:val="left" w:pos="410"/>
        </w:tabs>
        <w:spacing w:before="64" w:line="247" w:lineRule="auto"/>
        <w:ind w:right="679" w:firstLine="0"/>
        <w:jc w:val="both"/>
        <w:rPr>
          <w:sz w:val="24"/>
        </w:rPr>
      </w:pPr>
      <w:r>
        <w:rPr>
          <w:sz w:val="24"/>
        </w:rPr>
        <w:lastRenderedPageBreak/>
        <w:t>At the year-end define age of outstanding creditors like below 15 days, more than 15 days but below 45 days</w:t>
      </w:r>
      <w:r>
        <w:rPr>
          <w:spacing w:val="1"/>
          <w:sz w:val="24"/>
        </w:rPr>
        <w:t xml:space="preserve"> </w:t>
      </w:r>
      <w:r>
        <w:rPr>
          <w:sz w:val="24"/>
        </w:rPr>
        <w:t>and more than 45 days.</w:t>
      </w:r>
    </w:p>
    <w:p w:rsidR="008B198D" w:rsidRDefault="008B198D">
      <w:pPr>
        <w:pStyle w:val="BodyText"/>
        <w:rPr>
          <w:sz w:val="21"/>
        </w:rPr>
      </w:pPr>
    </w:p>
    <w:p w:rsidR="008B198D" w:rsidRDefault="0070278B">
      <w:pPr>
        <w:pStyle w:val="ListParagraph"/>
        <w:numPr>
          <w:ilvl w:val="1"/>
          <w:numId w:val="1"/>
        </w:numPr>
        <w:tabs>
          <w:tab w:val="left" w:pos="448"/>
        </w:tabs>
        <w:spacing w:line="247" w:lineRule="auto"/>
        <w:ind w:right="679" w:firstLine="0"/>
        <w:jc w:val="both"/>
        <w:rPr>
          <w:sz w:val="24"/>
        </w:rPr>
      </w:pPr>
      <w:r>
        <w:rPr>
          <w:sz w:val="24"/>
        </w:rPr>
        <w:t>It is highly recommended to obtain MSME certificate along with declaration on the classification of an</w:t>
      </w:r>
      <w:r>
        <w:rPr>
          <w:spacing w:val="1"/>
          <w:sz w:val="24"/>
        </w:rPr>
        <w:t xml:space="preserve"> </w:t>
      </w:r>
      <w:r>
        <w:rPr>
          <w:sz w:val="24"/>
        </w:rPr>
        <w:t>enterprise</w:t>
      </w:r>
      <w:r>
        <w:rPr>
          <w:spacing w:val="14"/>
          <w:sz w:val="24"/>
        </w:rPr>
        <w:t xml:space="preserve"> </w:t>
      </w:r>
      <w:r>
        <w:rPr>
          <w:sz w:val="24"/>
        </w:rPr>
        <w:t>from</w:t>
      </w:r>
      <w:r>
        <w:rPr>
          <w:spacing w:val="14"/>
          <w:sz w:val="24"/>
        </w:rPr>
        <w:t xml:space="preserve"> </w:t>
      </w:r>
      <w:r>
        <w:rPr>
          <w:sz w:val="24"/>
        </w:rPr>
        <w:t>a</w:t>
      </w:r>
      <w:r>
        <w:rPr>
          <w:spacing w:val="14"/>
          <w:sz w:val="24"/>
        </w:rPr>
        <w:t xml:space="preserve"> </w:t>
      </w:r>
      <w:r>
        <w:rPr>
          <w:sz w:val="24"/>
        </w:rPr>
        <w:t>supplier</w:t>
      </w:r>
      <w:r>
        <w:rPr>
          <w:spacing w:val="14"/>
          <w:sz w:val="24"/>
        </w:rPr>
        <w:t xml:space="preserve"> </w:t>
      </w:r>
      <w:r>
        <w:rPr>
          <w:sz w:val="24"/>
        </w:rPr>
        <w:t>along</w:t>
      </w:r>
      <w:r>
        <w:rPr>
          <w:spacing w:val="14"/>
          <w:sz w:val="24"/>
        </w:rPr>
        <w:t xml:space="preserve"> </w:t>
      </w:r>
      <w:r>
        <w:rPr>
          <w:sz w:val="24"/>
        </w:rPr>
        <w:t>with</w:t>
      </w:r>
      <w:r>
        <w:rPr>
          <w:spacing w:val="14"/>
          <w:sz w:val="24"/>
        </w:rPr>
        <w:t xml:space="preserve"> </w:t>
      </w:r>
      <w:r>
        <w:rPr>
          <w:sz w:val="24"/>
        </w:rPr>
        <w:t>written</w:t>
      </w:r>
      <w:r>
        <w:rPr>
          <w:spacing w:val="14"/>
          <w:sz w:val="24"/>
        </w:rPr>
        <w:t xml:space="preserve"> </w:t>
      </w:r>
      <w:r>
        <w:rPr>
          <w:sz w:val="24"/>
        </w:rPr>
        <w:t>agreement.</w:t>
      </w:r>
      <w:r>
        <w:rPr>
          <w:spacing w:val="14"/>
          <w:sz w:val="24"/>
        </w:rPr>
        <w:t xml:space="preserve"> </w:t>
      </w:r>
      <w:r>
        <w:rPr>
          <w:sz w:val="24"/>
        </w:rPr>
        <w:t>Like</w:t>
      </w:r>
      <w:r>
        <w:rPr>
          <w:spacing w:val="14"/>
          <w:sz w:val="24"/>
        </w:rPr>
        <w:t xml:space="preserve"> </w:t>
      </w:r>
      <w:r>
        <w:rPr>
          <w:sz w:val="24"/>
        </w:rPr>
        <w:t>Micro,</w:t>
      </w:r>
      <w:r>
        <w:rPr>
          <w:spacing w:val="14"/>
          <w:sz w:val="24"/>
        </w:rPr>
        <w:t xml:space="preserve"> </w:t>
      </w:r>
      <w:r>
        <w:rPr>
          <w:sz w:val="24"/>
        </w:rPr>
        <w:t>Small</w:t>
      </w:r>
      <w:r>
        <w:rPr>
          <w:spacing w:val="14"/>
          <w:sz w:val="24"/>
        </w:rPr>
        <w:t xml:space="preserve"> </w:t>
      </w:r>
      <w:r>
        <w:rPr>
          <w:sz w:val="24"/>
        </w:rPr>
        <w:t>and</w:t>
      </w:r>
      <w:r>
        <w:rPr>
          <w:spacing w:val="14"/>
          <w:sz w:val="24"/>
        </w:rPr>
        <w:t xml:space="preserve"> </w:t>
      </w:r>
      <w:r>
        <w:rPr>
          <w:sz w:val="24"/>
        </w:rPr>
        <w:t>Medium</w:t>
      </w:r>
      <w:r>
        <w:rPr>
          <w:spacing w:val="14"/>
          <w:sz w:val="24"/>
        </w:rPr>
        <w:t xml:space="preserve"> </w:t>
      </w:r>
      <w:r>
        <w:rPr>
          <w:sz w:val="24"/>
        </w:rPr>
        <w:t>Enterprises,</w:t>
      </w:r>
      <w:r>
        <w:rPr>
          <w:spacing w:val="14"/>
          <w:sz w:val="24"/>
        </w:rPr>
        <w:t xml:space="preserve"> </w:t>
      </w:r>
      <w:r>
        <w:rPr>
          <w:sz w:val="24"/>
        </w:rPr>
        <w:t>Turnover</w:t>
      </w:r>
      <w:r>
        <w:rPr>
          <w:spacing w:val="-58"/>
          <w:sz w:val="24"/>
        </w:rPr>
        <w:t xml:space="preserve"> </w:t>
      </w:r>
      <w:r>
        <w:rPr>
          <w:sz w:val="24"/>
        </w:rPr>
        <w:t>of preceding year etc.</w:t>
      </w:r>
    </w:p>
    <w:p w:rsidR="008B198D" w:rsidRDefault="008B198D">
      <w:pPr>
        <w:pStyle w:val="BodyText"/>
        <w:spacing w:before="1"/>
        <w:rPr>
          <w:sz w:val="21"/>
        </w:rPr>
      </w:pPr>
    </w:p>
    <w:p w:rsidR="008B198D" w:rsidRDefault="0070278B">
      <w:pPr>
        <w:pStyle w:val="ListParagraph"/>
        <w:numPr>
          <w:ilvl w:val="1"/>
          <w:numId w:val="1"/>
        </w:numPr>
        <w:tabs>
          <w:tab w:val="left" w:pos="440"/>
        </w:tabs>
        <w:spacing w:line="247" w:lineRule="auto"/>
        <w:ind w:right="718" w:firstLine="0"/>
        <w:jc w:val="both"/>
        <w:rPr>
          <w:sz w:val="24"/>
        </w:rPr>
      </w:pPr>
      <w:r>
        <w:rPr>
          <w:sz w:val="24"/>
        </w:rPr>
        <w:t xml:space="preserve">Tax auditors to </w:t>
      </w:r>
      <w:proofErr w:type="spellStart"/>
      <w:r>
        <w:rPr>
          <w:sz w:val="24"/>
        </w:rPr>
        <w:t>scr</w:t>
      </w:r>
      <w:r>
        <w:rPr>
          <w:color w:val="800080"/>
          <w:sz w:val="24"/>
        </w:rPr>
        <w:t>utinise</w:t>
      </w:r>
      <w:proofErr w:type="spellEnd"/>
      <w:r>
        <w:rPr>
          <w:color w:val="800080"/>
          <w:sz w:val="24"/>
        </w:rPr>
        <w:t xml:space="preserve"> the information and documents maintained by the taxpayer and authenticity of</w:t>
      </w:r>
      <w:r>
        <w:rPr>
          <w:color w:val="800080"/>
          <w:spacing w:val="1"/>
          <w:sz w:val="24"/>
        </w:rPr>
        <w:t xml:space="preserve"> </w:t>
      </w:r>
      <w:r>
        <w:rPr>
          <w:color w:val="800080"/>
          <w:sz w:val="24"/>
        </w:rPr>
        <w:t>documents to figure out disallowance under section 43B.</w:t>
      </w:r>
    </w:p>
    <w:p w:rsidR="008B198D" w:rsidRDefault="008B198D">
      <w:pPr>
        <w:pStyle w:val="BodyText"/>
        <w:rPr>
          <w:sz w:val="21"/>
        </w:rPr>
      </w:pPr>
    </w:p>
    <w:p w:rsidR="008B198D" w:rsidRDefault="0070278B">
      <w:pPr>
        <w:pStyle w:val="BodyText"/>
        <w:spacing w:before="1" w:line="247" w:lineRule="auto"/>
        <w:ind w:left="160" w:right="679"/>
        <w:jc w:val="both"/>
      </w:pPr>
      <w:r>
        <w:rPr>
          <w:b/>
          <w:color w:val="800080"/>
        </w:rPr>
        <w:t xml:space="preserve">Conclusion: </w:t>
      </w:r>
      <w:r>
        <w:rPr>
          <w:color w:val="800080"/>
        </w:rPr>
        <w:t>Businesses need to be proactive in assessing the status of outstanding creditors, categorizing them</w:t>
      </w:r>
      <w:r>
        <w:rPr>
          <w:color w:val="800080"/>
          <w:spacing w:val="1"/>
        </w:rPr>
        <w:t xml:space="preserve"> </w:t>
      </w:r>
      <w:r>
        <w:rPr>
          <w:color w:val="800080"/>
        </w:rPr>
        <w:t>as</w:t>
      </w:r>
      <w:r>
        <w:rPr>
          <w:color w:val="800080"/>
          <w:spacing w:val="58"/>
        </w:rPr>
        <w:t xml:space="preserve"> </w:t>
      </w:r>
      <w:r>
        <w:rPr>
          <w:color w:val="800080"/>
        </w:rPr>
        <w:t>Micro</w:t>
      </w:r>
      <w:r>
        <w:rPr>
          <w:color w:val="800080"/>
          <w:spacing w:val="58"/>
        </w:rPr>
        <w:t xml:space="preserve"> </w:t>
      </w:r>
      <w:r>
        <w:rPr>
          <w:color w:val="800080"/>
        </w:rPr>
        <w:t>and</w:t>
      </w:r>
      <w:r>
        <w:rPr>
          <w:color w:val="800080"/>
          <w:spacing w:val="58"/>
        </w:rPr>
        <w:t xml:space="preserve"> </w:t>
      </w:r>
      <w:r>
        <w:rPr>
          <w:color w:val="800080"/>
        </w:rPr>
        <w:t>Small</w:t>
      </w:r>
      <w:r>
        <w:rPr>
          <w:color w:val="800080"/>
          <w:spacing w:val="58"/>
        </w:rPr>
        <w:t xml:space="preserve"> </w:t>
      </w:r>
      <w:r>
        <w:rPr>
          <w:color w:val="800080"/>
        </w:rPr>
        <w:t>Enterprises,</w:t>
      </w:r>
      <w:r>
        <w:rPr>
          <w:color w:val="800080"/>
          <w:spacing w:val="58"/>
        </w:rPr>
        <w:t xml:space="preserve"> </w:t>
      </w:r>
      <w:r>
        <w:rPr>
          <w:color w:val="800080"/>
        </w:rPr>
        <w:t>Manufacturers,</w:t>
      </w:r>
      <w:r>
        <w:rPr>
          <w:color w:val="800080"/>
          <w:spacing w:val="58"/>
        </w:rPr>
        <w:t xml:space="preserve"> </w:t>
      </w:r>
      <w:r>
        <w:rPr>
          <w:color w:val="800080"/>
        </w:rPr>
        <w:t>Service</w:t>
      </w:r>
      <w:r>
        <w:rPr>
          <w:color w:val="800080"/>
          <w:spacing w:val="58"/>
        </w:rPr>
        <w:t xml:space="preserve"> </w:t>
      </w:r>
      <w:r>
        <w:rPr>
          <w:color w:val="800080"/>
        </w:rPr>
        <w:t>Providers,</w:t>
      </w:r>
      <w:r>
        <w:rPr>
          <w:color w:val="800080"/>
          <w:spacing w:val="58"/>
        </w:rPr>
        <w:t xml:space="preserve"> </w:t>
      </w:r>
      <w:r>
        <w:rPr>
          <w:color w:val="800080"/>
        </w:rPr>
        <w:t>or</w:t>
      </w:r>
      <w:r>
        <w:rPr>
          <w:color w:val="800080"/>
          <w:spacing w:val="58"/>
        </w:rPr>
        <w:t xml:space="preserve"> </w:t>
      </w:r>
      <w:r>
        <w:rPr>
          <w:color w:val="800080"/>
        </w:rPr>
        <w:t>Traders/Retailers.</w:t>
      </w:r>
      <w:r>
        <w:rPr>
          <w:color w:val="800080"/>
          <w:spacing w:val="58"/>
        </w:rPr>
        <w:t xml:space="preserve"> </w:t>
      </w:r>
      <w:r>
        <w:rPr>
          <w:color w:val="800080"/>
        </w:rPr>
        <w:t>Obtaining</w:t>
      </w:r>
      <w:r>
        <w:rPr>
          <w:color w:val="800080"/>
          <w:spacing w:val="58"/>
        </w:rPr>
        <w:t xml:space="preserve"> </w:t>
      </w:r>
      <w:r>
        <w:rPr>
          <w:color w:val="800080"/>
        </w:rPr>
        <w:t>MSME</w:t>
      </w:r>
      <w:r>
        <w:rPr>
          <w:color w:val="800080"/>
          <w:spacing w:val="-58"/>
        </w:rPr>
        <w:t xml:space="preserve"> </w:t>
      </w:r>
      <w:r>
        <w:rPr>
          <w:color w:val="800080"/>
        </w:rPr>
        <w:t>certificates,</w:t>
      </w:r>
      <w:r>
        <w:rPr>
          <w:color w:val="800080"/>
          <w:spacing w:val="34"/>
        </w:rPr>
        <w:t xml:space="preserve"> </w:t>
      </w:r>
      <w:r>
        <w:rPr>
          <w:color w:val="800080"/>
        </w:rPr>
        <w:t>declarations</w:t>
      </w:r>
      <w:r>
        <w:rPr>
          <w:color w:val="800080"/>
          <w:spacing w:val="34"/>
        </w:rPr>
        <w:t xml:space="preserve"> </w:t>
      </w:r>
      <w:r>
        <w:rPr>
          <w:color w:val="800080"/>
        </w:rPr>
        <w:t>on</w:t>
      </w:r>
      <w:r>
        <w:rPr>
          <w:color w:val="800080"/>
          <w:spacing w:val="34"/>
        </w:rPr>
        <w:t xml:space="preserve"> </w:t>
      </w:r>
      <w:r>
        <w:rPr>
          <w:color w:val="800080"/>
        </w:rPr>
        <w:t>enterprise</w:t>
      </w:r>
      <w:r>
        <w:rPr>
          <w:color w:val="800080"/>
          <w:spacing w:val="34"/>
        </w:rPr>
        <w:t xml:space="preserve"> </w:t>
      </w:r>
      <w:r>
        <w:rPr>
          <w:color w:val="800080"/>
        </w:rPr>
        <w:t>classification,</w:t>
      </w:r>
      <w:r>
        <w:rPr>
          <w:color w:val="800080"/>
          <w:spacing w:val="34"/>
        </w:rPr>
        <w:t xml:space="preserve"> </w:t>
      </w:r>
      <w:r>
        <w:rPr>
          <w:color w:val="800080"/>
        </w:rPr>
        <w:t>and</w:t>
      </w:r>
      <w:r>
        <w:rPr>
          <w:color w:val="800080"/>
          <w:spacing w:val="34"/>
        </w:rPr>
        <w:t xml:space="preserve"> </w:t>
      </w:r>
      <w:r>
        <w:rPr>
          <w:color w:val="800080"/>
        </w:rPr>
        <w:t>written</w:t>
      </w:r>
      <w:r>
        <w:rPr>
          <w:color w:val="800080"/>
          <w:spacing w:val="34"/>
        </w:rPr>
        <w:t xml:space="preserve"> </w:t>
      </w:r>
      <w:r>
        <w:rPr>
          <w:color w:val="800080"/>
        </w:rPr>
        <w:t>agreements</w:t>
      </w:r>
      <w:r>
        <w:rPr>
          <w:color w:val="800080"/>
          <w:spacing w:val="34"/>
        </w:rPr>
        <w:t xml:space="preserve"> </w:t>
      </w:r>
      <w:r>
        <w:rPr>
          <w:color w:val="800080"/>
        </w:rPr>
        <w:t>are</w:t>
      </w:r>
      <w:r>
        <w:rPr>
          <w:color w:val="800080"/>
          <w:spacing w:val="34"/>
        </w:rPr>
        <w:t xml:space="preserve"> </w:t>
      </w:r>
      <w:r>
        <w:rPr>
          <w:color w:val="800080"/>
        </w:rPr>
        <w:t>e</w:t>
      </w:r>
      <w:r>
        <w:t>ssential</w:t>
      </w:r>
      <w:r>
        <w:rPr>
          <w:spacing w:val="34"/>
        </w:rPr>
        <w:t xml:space="preserve"> </w:t>
      </w:r>
      <w:r>
        <w:t>steps.</w:t>
      </w:r>
      <w:r>
        <w:rPr>
          <w:spacing w:val="34"/>
        </w:rPr>
        <w:t xml:space="preserve"> </w:t>
      </w:r>
      <w:r>
        <w:t>Tax</w:t>
      </w:r>
      <w:r>
        <w:rPr>
          <w:spacing w:val="34"/>
        </w:rPr>
        <w:t xml:space="preserve"> </w:t>
      </w:r>
      <w:r>
        <w:t>auditors</w:t>
      </w:r>
      <w:r>
        <w:rPr>
          <w:spacing w:val="-57"/>
        </w:rPr>
        <w:t xml:space="preserve"> </w:t>
      </w:r>
      <w:r>
        <w:t>play a crucial role in scrutinizing information and documents for compliance with Section 43B(h).</w:t>
      </w:r>
    </w:p>
    <w:p w:rsidR="008B198D" w:rsidRDefault="008B198D">
      <w:pPr>
        <w:pStyle w:val="BodyText"/>
        <w:spacing w:before="1"/>
        <w:rPr>
          <w:sz w:val="21"/>
        </w:rPr>
      </w:pPr>
    </w:p>
    <w:p w:rsidR="008B198D" w:rsidRDefault="0070278B">
      <w:pPr>
        <w:pStyle w:val="BodyText"/>
        <w:spacing w:before="1" w:line="247" w:lineRule="auto"/>
        <w:ind w:left="160" w:right="679"/>
        <w:jc w:val="both"/>
      </w:pPr>
      <w:r>
        <w:t>This amendment comes into effect from the assessment year 2024-25, and businesses must adapt their practices</w:t>
      </w:r>
      <w:r>
        <w:rPr>
          <w:spacing w:val="1"/>
        </w:rPr>
        <w:t xml:space="preserve"> </w:t>
      </w:r>
      <w:r>
        <w:t>to comply with the new provisions. Understanding</w:t>
      </w:r>
      <w:r>
        <w:t xml:space="preserve"> the intricacies of the MSMED Act and Section 43B(h) is</w:t>
      </w:r>
      <w:r>
        <w:rPr>
          <w:spacing w:val="1"/>
        </w:rPr>
        <w:t xml:space="preserve"> </w:t>
      </w:r>
      <w:r>
        <w:t>crucial for avoiding expense disallowances and ensuring smooth tax compliance.</w:t>
      </w:r>
    </w:p>
    <w:p w:rsidR="008B198D" w:rsidRDefault="008B198D">
      <w:pPr>
        <w:pStyle w:val="BodyText"/>
        <w:spacing w:before="1"/>
        <w:rPr>
          <w:sz w:val="21"/>
        </w:rPr>
      </w:pPr>
    </w:p>
    <w:p w:rsidR="008B198D" w:rsidRDefault="0070278B">
      <w:pPr>
        <w:pStyle w:val="BodyText"/>
        <w:ind w:left="408" w:right="927"/>
        <w:jc w:val="center"/>
      </w:pPr>
      <w:r>
        <w:t>*****</w:t>
      </w:r>
    </w:p>
    <w:p w:rsidR="008B198D" w:rsidRDefault="008B198D">
      <w:pPr>
        <w:pStyle w:val="BodyText"/>
        <w:spacing w:before="7"/>
        <w:rPr>
          <w:sz w:val="21"/>
        </w:rPr>
      </w:pPr>
      <w:bookmarkStart w:id="0" w:name="_GoBack"/>
      <w:bookmarkEnd w:id="0"/>
    </w:p>
    <w:sectPr w:rsidR="008B198D">
      <w:pgSz w:w="12240" w:h="15840"/>
      <w:pgMar w:top="620" w:right="0" w:bottom="280" w:left="5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hruti">
    <w:panose1 w:val="02000500000000000000"/>
    <w:charset w:val="01"/>
    <w:family w:val="auto"/>
    <w:pitch w:val="variable"/>
    <w:sig w:usb0="0004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8C2BEC"/>
    <w:multiLevelType w:val="hybridMultilevel"/>
    <w:tmpl w:val="83408F7E"/>
    <w:lvl w:ilvl="0" w:tplc="4E80EC1C">
      <w:start w:val="1"/>
      <w:numFmt w:val="upperLetter"/>
      <w:lvlText w:val="%1."/>
      <w:lvlJc w:val="left"/>
      <w:pPr>
        <w:ind w:left="453" w:hanging="294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9056A6AE">
      <w:start w:val="1"/>
      <w:numFmt w:val="decimal"/>
      <w:lvlText w:val="%2."/>
      <w:lvlJc w:val="left"/>
      <w:pPr>
        <w:ind w:left="160" w:hanging="31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EED2B2B2">
      <w:numFmt w:val="bullet"/>
      <w:lvlText w:val="•"/>
      <w:lvlJc w:val="left"/>
      <w:pPr>
        <w:ind w:left="1711" w:hanging="319"/>
      </w:pPr>
      <w:rPr>
        <w:rFonts w:hint="default"/>
        <w:lang w:val="en-US" w:eastAsia="en-US" w:bidi="ar-SA"/>
      </w:rPr>
    </w:lvl>
    <w:lvl w:ilvl="3" w:tplc="E5FC9252">
      <w:numFmt w:val="bullet"/>
      <w:lvlText w:val="•"/>
      <w:lvlJc w:val="left"/>
      <w:pPr>
        <w:ind w:left="2962" w:hanging="319"/>
      </w:pPr>
      <w:rPr>
        <w:rFonts w:hint="default"/>
        <w:lang w:val="en-US" w:eastAsia="en-US" w:bidi="ar-SA"/>
      </w:rPr>
    </w:lvl>
    <w:lvl w:ilvl="4" w:tplc="BCD6FE02">
      <w:numFmt w:val="bullet"/>
      <w:lvlText w:val="•"/>
      <w:lvlJc w:val="left"/>
      <w:pPr>
        <w:ind w:left="4213" w:hanging="319"/>
      </w:pPr>
      <w:rPr>
        <w:rFonts w:hint="default"/>
        <w:lang w:val="en-US" w:eastAsia="en-US" w:bidi="ar-SA"/>
      </w:rPr>
    </w:lvl>
    <w:lvl w:ilvl="5" w:tplc="163EC732">
      <w:numFmt w:val="bullet"/>
      <w:lvlText w:val="•"/>
      <w:lvlJc w:val="left"/>
      <w:pPr>
        <w:ind w:left="5464" w:hanging="319"/>
      </w:pPr>
      <w:rPr>
        <w:rFonts w:hint="default"/>
        <w:lang w:val="en-US" w:eastAsia="en-US" w:bidi="ar-SA"/>
      </w:rPr>
    </w:lvl>
    <w:lvl w:ilvl="6" w:tplc="3FF04132">
      <w:numFmt w:val="bullet"/>
      <w:lvlText w:val="•"/>
      <w:lvlJc w:val="left"/>
      <w:pPr>
        <w:ind w:left="6715" w:hanging="319"/>
      </w:pPr>
      <w:rPr>
        <w:rFonts w:hint="default"/>
        <w:lang w:val="en-US" w:eastAsia="en-US" w:bidi="ar-SA"/>
      </w:rPr>
    </w:lvl>
    <w:lvl w:ilvl="7" w:tplc="7F2C3240">
      <w:numFmt w:val="bullet"/>
      <w:lvlText w:val="•"/>
      <w:lvlJc w:val="left"/>
      <w:pPr>
        <w:ind w:left="7966" w:hanging="319"/>
      </w:pPr>
      <w:rPr>
        <w:rFonts w:hint="default"/>
        <w:lang w:val="en-US" w:eastAsia="en-US" w:bidi="ar-SA"/>
      </w:rPr>
    </w:lvl>
    <w:lvl w:ilvl="8" w:tplc="3686089A">
      <w:numFmt w:val="bullet"/>
      <w:lvlText w:val="•"/>
      <w:lvlJc w:val="left"/>
      <w:pPr>
        <w:ind w:left="9217" w:hanging="319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B198D"/>
    <w:rsid w:val="0070278B"/>
    <w:rsid w:val="008B198D"/>
    <w:rsid w:val="00F97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1B071EB0"/>
  <w15:docId w15:val="{B36D24EA-4125-4C74-B602-B8CFF9FAF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6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85"/>
      <w:ind w:left="409" w:right="927"/>
      <w:jc w:val="center"/>
    </w:pPr>
    <w:rPr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160"/>
    </w:pPr>
  </w:style>
  <w:style w:type="paragraph" w:customStyle="1" w:styleId="TableParagraph">
    <w:name w:val="Table Paragraph"/>
    <w:basedOn w:val="Normal"/>
    <w:uiPriority w:val="1"/>
    <w:qFormat/>
    <w:pPr>
      <w:spacing w:before="29"/>
      <w:ind w:left="7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taxguru.in/income-tax/finance-bill-2023-union-budget-2023-download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1313</Words>
  <Characters>7489</Characters>
  <Application>Microsoft Office Word</Application>
  <DocSecurity>0</DocSecurity>
  <Lines>62</Lines>
  <Paragraphs>17</Paragraphs>
  <ScaleCrop>false</ScaleCrop>
  <Company/>
  <LinksUpToDate>false</LinksUpToDate>
  <CharactersWithSpaces>8785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PTR LIBRARY PVT LTD</cp:lastModifiedBy>
  <cp:revision>3</cp:revision>
  <dcterms:created xsi:type="dcterms:W3CDTF">2024-01-31T10:26:00Z</dcterms:created>
  <dcterms:modified xsi:type="dcterms:W3CDTF">2024-01-31T10:27:00Z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2024-01-31T00:00:00Z</vt:filetime>
  </property>
  <property fmtid="{D5CDD505-2E9C-101B-9397-08002B2CF9AE}" pid="3" name="LastSaved">
    <vt:filetime>2024-01-31T00:00:00Z</vt:filetime>
  </property>
</Properties>
</file>